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F90" w:rsidRPr="00207A33" w:rsidRDefault="00207A33" w:rsidP="00207A33">
      <w:pPr>
        <w:pStyle w:val="Sinespaciado"/>
        <w:jc w:val="center"/>
        <w:rPr>
          <w:rFonts w:asciiTheme="minorHAnsi" w:hAnsiTheme="minorHAnsi"/>
          <w:b/>
        </w:rPr>
      </w:pPr>
      <w:r w:rsidRPr="00207A33">
        <w:rPr>
          <w:rFonts w:asciiTheme="minorHAnsi" w:hAnsiTheme="minorHAnsi"/>
          <w:b/>
        </w:rPr>
        <w:t xml:space="preserve">HISTÓRICO DE </w:t>
      </w:r>
      <w:r w:rsidR="00744F90" w:rsidRPr="00207A33">
        <w:rPr>
          <w:rFonts w:asciiTheme="minorHAnsi" w:hAnsiTheme="minorHAnsi"/>
          <w:b/>
        </w:rPr>
        <w:t xml:space="preserve">OBSERVACIONES </w:t>
      </w:r>
      <w:r w:rsidRPr="00207A33">
        <w:rPr>
          <w:rFonts w:asciiTheme="minorHAnsi" w:hAnsiTheme="minorHAnsi"/>
          <w:b/>
        </w:rPr>
        <w:t>DE LA ASAMBLEA SUPERIOR DE LA FEDFERACIÓN</w:t>
      </w:r>
    </w:p>
    <w:p w:rsidR="00207A33" w:rsidRDefault="00207A33" w:rsidP="00207A33">
      <w:pPr>
        <w:pStyle w:val="Sinespaciado"/>
        <w:jc w:val="center"/>
        <w:rPr>
          <w:rFonts w:asciiTheme="minorHAnsi" w:hAnsiTheme="minorHAnsi"/>
          <w:b/>
        </w:rPr>
      </w:pPr>
      <w:r>
        <w:rPr>
          <w:rFonts w:asciiTheme="minorHAnsi" w:hAnsiTheme="minorHAnsi"/>
          <w:b/>
        </w:rPr>
        <w:t xml:space="preserve">MUNICIPIO: </w:t>
      </w:r>
      <w:r w:rsidR="00DF6662">
        <w:rPr>
          <w:rFonts w:asciiTheme="minorHAnsi" w:hAnsiTheme="minorHAnsi"/>
          <w:b/>
        </w:rPr>
        <w:t>COYUCA DE BENÍTEZ</w:t>
      </w:r>
      <w:r w:rsidR="00FB6FD3">
        <w:rPr>
          <w:rFonts w:asciiTheme="minorHAnsi" w:hAnsiTheme="minorHAnsi"/>
          <w:b/>
        </w:rPr>
        <w:t>, GUERRERO</w:t>
      </w:r>
    </w:p>
    <w:p w:rsidR="00207A33" w:rsidRPr="00207A33" w:rsidRDefault="00207A33" w:rsidP="00207A33">
      <w:pPr>
        <w:pStyle w:val="Sinespaciado"/>
        <w:jc w:val="center"/>
        <w:rPr>
          <w:rFonts w:asciiTheme="minorHAnsi" w:hAnsiTheme="minorHAnsi"/>
          <w:b/>
        </w:rPr>
      </w:pPr>
    </w:p>
    <w:p w:rsidR="00207A33" w:rsidRPr="00207A33" w:rsidRDefault="00207A33" w:rsidP="00207A33">
      <w:pPr>
        <w:pStyle w:val="Sinespaciado"/>
        <w:jc w:val="center"/>
        <w:rPr>
          <w:rFonts w:asciiTheme="minorHAnsi" w:hAnsiTheme="minorHAnsi"/>
          <w:b/>
        </w:rPr>
      </w:pPr>
    </w:p>
    <w:p w:rsidR="00744F90" w:rsidRPr="00207A33" w:rsidRDefault="00744F90" w:rsidP="00744F90">
      <w:pPr>
        <w:pStyle w:val="Sinespaciado"/>
        <w:jc w:val="center"/>
        <w:rPr>
          <w:rFonts w:asciiTheme="minorHAnsi" w:hAnsiTheme="minorHAnsi"/>
          <w:b/>
        </w:rPr>
      </w:pPr>
    </w:p>
    <w:p w:rsidR="00744F90" w:rsidRDefault="00744F90" w:rsidP="00744F90">
      <w:pPr>
        <w:pStyle w:val="Sinespaciado"/>
        <w:jc w:val="right"/>
        <w:rPr>
          <w:rFonts w:asciiTheme="minorHAnsi" w:hAnsiTheme="minorHAnsi"/>
          <w:b/>
        </w:rPr>
      </w:pPr>
      <w:r w:rsidRPr="00207A33">
        <w:rPr>
          <w:rFonts w:asciiTheme="minorHAnsi" w:hAnsiTheme="minorHAnsi"/>
          <w:b/>
        </w:rPr>
        <w:t xml:space="preserve">Dirección </w:t>
      </w:r>
      <w:r w:rsidR="00207A33">
        <w:rPr>
          <w:rFonts w:asciiTheme="minorHAnsi" w:hAnsiTheme="minorHAnsi"/>
          <w:b/>
        </w:rPr>
        <w:t>de</w:t>
      </w:r>
      <w:r w:rsidRPr="00207A33">
        <w:rPr>
          <w:rFonts w:asciiTheme="minorHAnsi" w:hAnsiTheme="minorHAnsi"/>
          <w:b/>
        </w:rPr>
        <w:t xml:space="preserve"> Investigación Aplicada</w:t>
      </w:r>
      <w:r w:rsidR="00207A33">
        <w:rPr>
          <w:rFonts w:asciiTheme="minorHAnsi" w:hAnsiTheme="minorHAnsi"/>
          <w:b/>
        </w:rPr>
        <w:t xml:space="preserve"> </w:t>
      </w:r>
    </w:p>
    <w:p w:rsidR="00207A33" w:rsidRPr="00207A33" w:rsidRDefault="00207A33" w:rsidP="00744F90">
      <w:pPr>
        <w:pStyle w:val="Sinespaciado"/>
        <w:jc w:val="right"/>
        <w:rPr>
          <w:rFonts w:asciiTheme="minorHAnsi" w:hAnsiTheme="minorHAnsi"/>
          <w:b/>
        </w:rPr>
      </w:pPr>
      <w:proofErr w:type="gramStart"/>
      <w:r>
        <w:rPr>
          <w:rFonts w:asciiTheme="minorHAnsi" w:hAnsiTheme="minorHAnsi"/>
          <w:b/>
        </w:rPr>
        <w:t>y</w:t>
      </w:r>
      <w:proofErr w:type="gramEnd"/>
      <w:r>
        <w:rPr>
          <w:rFonts w:asciiTheme="minorHAnsi" w:hAnsiTheme="minorHAnsi"/>
          <w:b/>
        </w:rPr>
        <w:t xml:space="preserve"> Gestión de Conocimiento</w:t>
      </w:r>
    </w:p>
    <w:p w:rsidR="00744F90" w:rsidRPr="00207A33" w:rsidRDefault="00847D92" w:rsidP="00744F90">
      <w:pPr>
        <w:pStyle w:val="Sinespaciado"/>
        <w:jc w:val="right"/>
        <w:rPr>
          <w:rFonts w:asciiTheme="minorHAnsi" w:hAnsiTheme="minorHAnsi"/>
          <w:b/>
        </w:rPr>
      </w:pPr>
      <w:r>
        <w:rPr>
          <w:rFonts w:asciiTheme="minorHAnsi" w:hAnsiTheme="minorHAnsi"/>
          <w:b/>
        </w:rPr>
        <w:t>Junio,</w:t>
      </w:r>
      <w:r w:rsidR="0012721E">
        <w:rPr>
          <w:rFonts w:asciiTheme="minorHAnsi" w:hAnsiTheme="minorHAnsi"/>
          <w:b/>
        </w:rPr>
        <w:t xml:space="preserve"> 2017</w:t>
      </w:r>
    </w:p>
    <w:p w:rsidR="00744F90" w:rsidRPr="00207A33" w:rsidRDefault="00207A33" w:rsidP="00207A33">
      <w:pPr>
        <w:pStyle w:val="Sinespaciado"/>
        <w:rPr>
          <w:rFonts w:asciiTheme="minorHAnsi" w:hAnsiTheme="minorHAnsi"/>
          <w:b/>
        </w:rPr>
      </w:pPr>
      <w:r>
        <w:rPr>
          <w:rFonts w:asciiTheme="minorHAnsi" w:hAnsiTheme="minorHAnsi"/>
          <w:b/>
        </w:rPr>
        <w:t>HISTÓRICO DE AUDITORÍAS</w:t>
      </w:r>
    </w:p>
    <w:p w:rsidR="00744F90" w:rsidRPr="00207A33" w:rsidRDefault="00744F90" w:rsidP="00744F90">
      <w:pPr>
        <w:pStyle w:val="Sinespaciado"/>
        <w:rPr>
          <w:rFonts w:asciiTheme="minorHAnsi" w:hAnsiTheme="minorHAnsi"/>
          <w:b/>
        </w:rPr>
      </w:pPr>
    </w:p>
    <w:tbl>
      <w:tblPr>
        <w:tblW w:w="14194" w:type="dxa"/>
        <w:tblCellMar>
          <w:left w:w="70" w:type="dxa"/>
          <w:right w:w="70" w:type="dxa"/>
        </w:tblCellMar>
        <w:tblLook w:val="04A0" w:firstRow="1" w:lastRow="0" w:firstColumn="1" w:lastColumn="0" w:noHBand="0" w:noVBand="1"/>
      </w:tblPr>
      <w:tblGrid>
        <w:gridCol w:w="951"/>
        <w:gridCol w:w="1152"/>
        <w:gridCol w:w="1993"/>
        <w:gridCol w:w="997"/>
        <w:gridCol w:w="8170"/>
        <w:gridCol w:w="931"/>
      </w:tblGrid>
      <w:tr w:rsidR="00207A33" w:rsidRPr="00923E53" w:rsidTr="00923E53">
        <w:trPr>
          <w:trHeight w:val="510"/>
        </w:trPr>
        <w:tc>
          <w:tcPr>
            <w:tcW w:w="954" w:type="dxa"/>
            <w:tcBorders>
              <w:top w:val="single" w:sz="4" w:space="0" w:color="auto"/>
              <w:left w:val="single" w:sz="4" w:space="0" w:color="auto"/>
              <w:bottom w:val="single" w:sz="4" w:space="0" w:color="auto"/>
              <w:right w:val="single" w:sz="4" w:space="0" w:color="auto"/>
            </w:tcBorders>
            <w:shd w:val="clear" w:color="000000" w:fill="F5F5F5"/>
            <w:vAlign w:val="center"/>
          </w:tcPr>
          <w:p w:rsidR="00207A33" w:rsidRPr="00923E53" w:rsidRDefault="0012721E" w:rsidP="00207A33">
            <w:pPr>
              <w:spacing w:after="0" w:line="240" w:lineRule="auto"/>
              <w:jc w:val="center"/>
              <w:rPr>
                <w:rFonts w:asciiTheme="minorHAnsi" w:eastAsia="Times New Roman" w:hAnsiTheme="minorHAnsi" w:cs="Arial"/>
                <w:bCs/>
                <w:color w:val="333333"/>
                <w:lang w:val="es-MX" w:eastAsia="es-MX"/>
              </w:rPr>
            </w:pPr>
            <w:r w:rsidRPr="00923E53">
              <w:rPr>
                <w:rFonts w:asciiTheme="minorHAnsi" w:eastAsia="Times New Roman" w:hAnsiTheme="minorHAnsi" w:cs="Arial"/>
                <w:bCs/>
                <w:color w:val="333333"/>
                <w:lang w:val="es-MX" w:eastAsia="es-MX"/>
              </w:rPr>
              <w:t xml:space="preserve">No. </w:t>
            </w:r>
          </w:p>
        </w:tc>
        <w:tc>
          <w:tcPr>
            <w:tcW w:w="1155" w:type="dxa"/>
            <w:tcBorders>
              <w:top w:val="single" w:sz="4" w:space="0" w:color="auto"/>
              <w:left w:val="nil"/>
              <w:bottom w:val="single" w:sz="4" w:space="0" w:color="auto"/>
              <w:right w:val="single" w:sz="4" w:space="0" w:color="auto"/>
            </w:tcBorders>
            <w:shd w:val="clear" w:color="000000" w:fill="F5F5F5"/>
            <w:vAlign w:val="center"/>
          </w:tcPr>
          <w:p w:rsidR="00207A33" w:rsidRPr="00923E53" w:rsidRDefault="0012721E" w:rsidP="00207A33">
            <w:pPr>
              <w:spacing w:after="0" w:line="240" w:lineRule="auto"/>
              <w:jc w:val="center"/>
              <w:rPr>
                <w:rFonts w:asciiTheme="minorHAnsi" w:eastAsia="Times New Roman" w:hAnsiTheme="minorHAnsi" w:cs="Arial"/>
                <w:bCs/>
                <w:color w:val="333333"/>
                <w:lang w:val="es-MX" w:eastAsia="es-MX"/>
              </w:rPr>
            </w:pPr>
            <w:r w:rsidRPr="00923E53">
              <w:rPr>
                <w:rFonts w:asciiTheme="minorHAnsi" w:eastAsia="Times New Roman" w:hAnsiTheme="minorHAnsi" w:cs="Arial"/>
                <w:bCs/>
                <w:color w:val="333333"/>
                <w:lang w:val="es-MX" w:eastAsia="es-MX"/>
              </w:rPr>
              <w:t>Año Cuenta Pública</w:t>
            </w:r>
          </w:p>
        </w:tc>
        <w:tc>
          <w:tcPr>
            <w:tcW w:w="1997" w:type="dxa"/>
            <w:tcBorders>
              <w:top w:val="single" w:sz="4" w:space="0" w:color="auto"/>
              <w:left w:val="nil"/>
              <w:bottom w:val="single" w:sz="4" w:space="0" w:color="auto"/>
              <w:right w:val="single" w:sz="4" w:space="0" w:color="auto"/>
            </w:tcBorders>
            <w:shd w:val="clear" w:color="000000" w:fill="F5F5F5"/>
            <w:vAlign w:val="center"/>
          </w:tcPr>
          <w:p w:rsidR="00207A33" w:rsidRPr="00923E53" w:rsidRDefault="0012721E" w:rsidP="00207A33">
            <w:pPr>
              <w:spacing w:after="0" w:line="240" w:lineRule="auto"/>
              <w:jc w:val="center"/>
              <w:rPr>
                <w:rFonts w:asciiTheme="minorHAnsi" w:eastAsia="Times New Roman" w:hAnsiTheme="minorHAnsi" w:cs="Arial"/>
                <w:bCs/>
                <w:color w:val="333333"/>
                <w:lang w:val="es-MX" w:eastAsia="es-MX"/>
              </w:rPr>
            </w:pPr>
            <w:r w:rsidRPr="00923E53">
              <w:rPr>
                <w:rFonts w:asciiTheme="minorHAnsi" w:eastAsia="Times New Roman" w:hAnsiTheme="minorHAnsi" w:cs="Arial"/>
                <w:bCs/>
                <w:color w:val="333333"/>
                <w:lang w:val="es-MX" w:eastAsia="es-MX"/>
              </w:rPr>
              <w:t>Tipo de Auditoría</w:t>
            </w:r>
          </w:p>
        </w:tc>
        <w:tc>
          <w:tcPr>
            <w:tcW w:w="998" w:type="dxa"/>
            <w:tcBorders>
              <w:top w:val="single" w:sz="4" w:space="0" w:color="auto"/>
              <w:left w:val="nil"/>
              <w:bottom w:val="single" w:sz="4" w:space="0" w:color="auto"/>
              <w:right w:val="single" w:sz="4" w:space="0" w:color="auto"/>
            </w:tcBorders>
            <w:shd w:val="clear" w:color="000000" w:fill="F5F5F5"/>
            <w:vAlign w:val="center"/>
          </w:tcPr>
          <w:p w:rsidR="00207A33" w:rsidRPr="00923E53" w:rsidRDefault="0012721E" w:rsidP="00207A33">
            <w:pPr>
              <w:spacing w:after="0" w:line="240" w:lineRule="auto"/>
              <w:jc w:val="center"/>
              <w:rPr>
                <w:rFonts w:asciiTheme="minorHAnsi" w:eastAsia="Times New Roman" w:hAnsiTheme="minorHAnsi" w:cs="Arial"/>
                <w:bCs/>
                <w:color w:val="333333"/>
                <w:lang w:val="es-MX" w:eastAsia="es-MX"/>
              </w:rPr>
            </w:pPr>
            <w:r w:rsidRPr="00923E53">
              <w:rPr>
                <w:rFonts w:asciiTheme="minorHAnsi" w:eastAsia="Times New Roman" w:hAnsiTheme="minorHAnsi" w:cs="Arial"/>
                <w:bCs/>
                <w:color w:val="333333"/>
                <w:lang w:val="es-MX" w:eastAsia="es-MX"/>
              </w:rPr>
              <w:t>Número</w:t>
            </w:r>
          </w:p>
        </w:tc>
        <w:tc>
          <w:tcPr>
            <w:tcW w:w="8216" w:type="dxa"/>
            <w:tcBorders>
              <w:top w:val="single" w:sz="4" w:space="0" w:color="auto"/>
              <w:left w:val="nil"/>
              <w:bottom w:val="single" w:sz="4" w:space="0" w:color="auto"/>
              <w:right w:val="single" w:sz="4" w:space="0" w:color="auto"/>
            </w:tcBorders>
            <w:shd w:val="clear" w:color="000000" w:fill="F5F5F5"/>
            <w:vAlign w:val="center"/>
          </w:tcPr>
          <w:p w:rsidR="00207A33" w:rsidRPr="00923E53" w:rsidRDefault="0012721E" w:rsidP="00207A33">
            <w:pPr>
              <w:spacing w:after="0" w:line="240" w:lineRule="auto"/>
              <w:jc w:val="center"/>
              <w:rPr>
                <w:rFonts w:asciiTheme="minorHAnsi" w:eastAsia="Times New Roman" w:hAnsiTheme="minorHAnsi" w:cs="Arial"/>
                <w:bCs/>
                <w:color w:val="333333"/>
                <w:lang w:val="es-MX" w:eastAsia="es-MX"/>
              </w:rPr>
            </w:pPr>
            <w:r w:rsidRPr="00923E53">
              <w:rPr>
                <w:rFonts w:asciiTheme="minorHAnsi" w:eastAsia="Times New Roman" w:hAnsiTheme="minorHAnsi" w:cs="Arial"/>
                <w:bCs/>
                <w:color w:val="333333"/>
                <w:lang w:val="es-MX" w:eastAsia="es-MX"/>
              </w:rPr>
              <w:t>Título</w:t>
            </w:r>
          </w:p>
        </w:tc>
        <w:tc>
          <w:tcPr>
            <w:tcW w:w="87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07A33" w:rsidRPr="00923E53" w:rsidRDefault="0012721E" w:rsidP="00207A33">
            <w:pPr>
              <w:spacing w:after="0" w:line="240" w:lineRule="auto"/>
              <w:jc w:val="center"/>
              <w:rPr>
                <w:rFonts w:asciiTheme="minorHAnsi" w:eastAsia="Times New Roman" w:hAnsiTheme="minorHAnsi" w:cs="Arial"/>
                <w:bCs/>
                <w:color w:val="333333"/>
                <w:lang w:val="es-MX" w:eastAsia="es-MX"/>
              </w:rPr>
            </w:pPr>
            <w:r w:rsidRPr="00923E53">
              <w:rPr>
                <w:rFonts w:asciiTheme="minorHAnsi" w:eastAsia="Times New Roman" w:hAnsiTheme="minorHAnsi" w:cs="Arial"/>
                <w:bCs/>
                <w:color w:val="333333"/>
                <w:lang w:val="es-MX" w:eastAsia="es-MX"/>
              </w:rPr>
              <w:t>Acciones</w:t>
            </w:r>
          </w:p>
        </w:tc>
      </w:tr>
      <w:tr w:rsidR="00E159C8" w:rsidRPr="00923E53" w:rsidTr="00923E53">
        <w:trPr>
          <w:trHeight w:val="51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159C8" w:rsidRPr="00923E53" w:rsidRDefault="003B54A6" w:rsidP="00E159C8">
            <w:pPr>
              <w:spacing w:after="0" w:line="240" w:lineRule="auto"/>
              <w:jc w:val="center"/>
              <w:rPr>
                <w:rFonts w:asciiTheme="minorHAnsi" w:eastAsia="Times New Roman" w:hAnsiTheme="minorHAnsi" w:cs="Arial"/>
                <w:lang w:val="es-MX" w:eastAsia="es-MX"/>
              </w:rPr>
            </w:pPr>
            <w:r w:rsidRPr="00923E53">
              <w:rPr>
                <w:rFonts w:asciiTheme="minorHAnsi" w:eastAsia="Times New Roman" w:hAnsiTheme="minorHAnsi" w:cs="Arial"/>
                <w:lang w:val="es-MX" w:eastAsia="es-MX"/>
              </w:rPr>
              <w:t>1</w:t>
            </w:r>
          </w:p>
        </w:tc>
        <w:tc>
          <w:tcPr>
            <w:tcW w:w="1155" w:type="dxa"/>
            <w:tcBorders>
              <w:top w:val="single" w:sz="4" w:space="0" w:color="auto"/>
              <w:left w:val="nil"/>
              <w:bottom w:val="single" w:sz="4" w:space="0" w:color="auto"/>
              <w:right w:val="single" w:sz="4" w:space="0" w:color="auto"/>
            </w:tcBorders>
            <w:shd w:val="clear" w:color="auto" w:fill="auto"/>
            <w:vAlign w:val="center"/>
          </w:tcPr>
          <w:p w:rsidR="00E159C8" w:rsidRPr="00923E53" w:rsidRDefault="00DF6662" w:rsidP="00E159C8">
            <w:pPr>
              <w:spacing w:after="0" w:line="240" w:lineRule="auto"/>
              <w:jc w:val="center"/>
              <w:rPr>
                <w:rFonts w:asciiTheme="minorHAnsi" w:eastAsia="Times New Roman" w:hAnsiTheme="minorHAnsi" w:cs="Arial"/>
                <w:bCs/>
                <w:color w:val="333333"/>
                <w:lang w:val="es-MX" w:eastAsia="es-MX"/>
              </w:rPr>
            </w:pPr>
            <w:r w:rsidRPr="00923E53">
              <w:rPr>
                <w:rFonts w:asciiTheme="minorHAnsi" w:eastAsia="Times New Roman" w:hAnsiTheme="minorHAnsi" w:cs="Arial"/>
                <w:bCs/>
                <w:color w:val="333333"/>
                <w:lang w:val="es-MX" w:eastAsia="es-MX"/>
              </w:rPr>
              <w:t>2014</w:t>
            </w:r>
          </w:p>
        </w:tc>
        <w:tc>
          <w:tcPr>
            <w:tcW w:w="1997" w:type="dxa"/>
            <w:tcBorders>
              <w:top w:val="single" w:sz="4" w:space="0" w:color="auto"/>
              <w:left w:val="nil"/>
              <w:bottom w:val="single" w:sz="4" w:space="0" w:color="auto"/>
              <w:right w:val="single" w:sz="4" w:space="0" w:color="auto"/>
            </w:tcBorders>
            <w:shd w:val="clear" w:color="auto" w:fill="auto"/>
            <w:vAlign w:val="center"/>
          </w:tcPr>
          <w:p w:rsidR="00DF6662" w:rsidRPr="00923E53" w:rsidRDefault="00DF6662" w:rsidP="00DF6662">
            <w:pPr>
              <w:autoSpaceDE w:val="0"/>
              <w:autoSpaceDN w:val="0"/>
              <w:adjustRightInd w:val="0"/>
              <w:spacing w:after="0" w:line="240" w:lineRule="auto"/>
              <w:rPr>
                <w:rFonts w:asciiTheme="minorHAnsi" w:eastAsiaTheme="minorHAnsi" w:hAnsiTheme="minorHAnsi"/>
                <w:color w:val="000000"/>
                <w:lang w:val="es-MX"/>
              </w:rPr>
            </w:pPr>
          </w:p>
          <w:p w:rsidR="00E159C8" w:rsidRPr="00923E53" w:rsidRDefault="00DF6662" w:rsidP="00DF6662">
            <w:pPr>
              <w:spacing w:after="0" w:line="240" w:lineRule="auto"/>
              <w:jc w:val="center"/>
              <w:rPr>
                <w:rFonts w:asciiTheme="minorHAnsi" w:eastAsia="Times New Roman" w:hAnsiTheme="minorHAnsi" w:cs="Arial"/>
                <w:color w:val="333333"/>
                <w:lang w:val="es-MX" w:eastAsia="es-MX"/>
              </w:rPr>
            </w:pPr>
            <w:r w:rsidRPr="00923E53">
              <w:rPr>
                <w:rFonts w:asciiTheme="minorHAnsi" w:eastAsiaTheme="minorHAnsi" w:hAnsiTheme="minorHAnsi"/>
                <w:color w:val="000000"/>
                <w:lang w:val="es-MX"/>
              </w:rPr>
              <w:t xml:space="preserve"> Financiera con Enfoque de Desempeño</w:t>
            </w:r>
          </w:p>
        </w:tc>
        <w:tc>
          <w:tcPr>
            <w:tcW w:w="998" w:type="dxa"/>
            <w:tcBorders>
              <w:top w:val="single" w:sz="4" w:space="0" w:color="auto"/>
              <w:left w:val="nil"/>
              <w:bottom w:val="single" w:sz="4" w:space="0" w:color="auto"/>
              <w:right w:val="single" w:sz="4" w:space="0" w:color="auto"/>
            </w:tcBorders>
            <w:shd w:val="clear" w:color="auto" w:fill="auto"/>
            <w:vAlign w:val="center"/>
          </w:tcPr>
          <w:p w:rsidR="00E159C8" w:rsidRPr="00923E53" w:rsidRDefault="00DF6662" w:rsidP="00E159C8">
            <w:pPr>
              <w:spacing w:after="0" w:line="240" w:lineRule="auto"/>
              <w:jc w:val="center"/>
              <w:rPr>
                <w:rFonts w:asciiTheme="minorHAnsi" w:eastAsia="Times New Roman" w:hAnsiTheme="minorHAnsi" w:cs="Arial"/>
                <w:bCs/>
                <w:color w:val="333333"/>
                <w:lang w:val="es-MX" w:eastAsia="es-MX"/>
              </w:rPr>
            </w:pPr>
            <w:r w:rsidRPr="00923E53">
              <w:rPr>
                <w:rFonts w:asciiTheme="minorHAnsi" w:eastAsia="Times New Roman" w:hAnsiTheme="minorHAnsi" w:cs="Arial"/>
                <w:bCs/>
                <w:color w:val="333333"/>
                <w:lang w:val="es-MX" w:eastAsia="es-MX"/>
              </w:rPr>
              <w:t>1220</w:t>
            </w:r>
          </w:p>
        </w:tc>
        <w:tc>
          <w:tcPr>
            <w:tcW w:w="8216" w:type="dxa"/>
            <w:tcBorders>
              <w:top w:val="single" w:sz="4" w:space="0" w:color="auto"/>
              <w:left w:val="nil"/>
              <w:bottom w:val="single" w:sz="4" w:space="0" w:color="auto"/>
              <w:right w:val="single" w:sz="4" w:space="0" w:color="auto"/>
            </w:tcBorders>
            <w:shd w:val="clear" w:color="auto" w:fill="auto"/>
            <w:vAlign w:val="center"/>
          </w:tcPr>
          <w:p w:rsidR="00E159C8" w:rsidRPr="00923E53" w:rsidRDefault="00DF6662" w:rsidP="00DF6662">
            <w:pPr>
              <w:spacing w:after="0" w:line="240" w:lineRule="auto"/>
              <w:rPr>
                <w:rFonts w:asciiTheme="minorHAnsi" w:eastAsia="Times New Roman" w:hAnsiTheme="minorHAnsi" w:cs="Arial"/>
                <w:bCs/>
                <w:color w:val="333333"/>
                <w:lang w:val="es-MX" w:eastAsia="es-MX"/>
              </w:rPr>
            </w:pPr>
            <w:r w:rsidRPr="00923E53">
              <w:rPr>
                <w:rFonts w:asciiTheme="minorHAnsi" w:eastAsiaTheme="minorHAnsi" w:hAnsiTheme="minorHAnsi"/>
                <w:bCs/>
                <w:color w:val="000000"/>
                <w:lang w:val="es-MX"/>
              </w:rPr>
              <w:t>Recursos del Fondo de Aportaciones para la Infraestructura Social Municipal y de las Demarcaciones Territoriales del Distrito Federal</w:t>
            </w:r>
          </w:p>
        </w:tc>
        <w:tc>
          <w:tcPr>
            <w:tcW w:w="874" w:type="dxa"/>
            <w:tcBorders>
              <w:top w:val="single" w:sz="4" w:space="0" w:color="auto"/>
              <w:left w:val="nil"/>
              <w:bottom w:val="single" w:sz="4" w:space="0" w:color="auto"/>
              <w:right w:val="single" w:sz="4" w:space="0" w:color="auto"/>
            </w:tcBorders>
            <w:shd w:val="clear" w:color="000000" w:fill="FFFFFF"/>
            <w:vAlign w:val="center"/>
          </w:tcPr>
          <w:p w:rsidR="00E159C8" w:rsidRPr="00923E53" w:rsidRDefault="00E159C8" w:rsidP="00E159C8">
            <w:pPr>
              <w:spacing w:after="0" w:line="240" w:lineRule="auto"/>
              <w:jc w:val="center"/>
              <w:rPr>
                <w:rFonts w:asciiTheme="minorHAnsi" w:eastAsia="Times New Roman" w:hAnsiTheme="minorHAnsi" w:cs="Arial"/>
                <w:bCs/>
                <w:color w:val="333333"/>
                <w:lang w:val="es-MX" w:eastAsia="es-MX"/>
              </w:rPr>
            </w:pPr>
          </w:p>
        </w:tc>
      </w:tr>
      <w:tr w:rsidR="00E159C8" w:rsidRPr="00923E53" w:rsidTr="00923E53">
        <w:trPr>
          <w:trHeight w:val="861"/>
        </w:trPr>
        <w:tc>
          <w:tcPr>
            <w:tcW w:w="954" w:type="dxa"/>
            <w:tcBorders>
              <w:top w:val="nil"/>
              <w:left w:val="single" w:sz="4" w:space="0" w:color="auto"/>
              <w:bottom w:val="single" w:sz="4" w:space="0" w:color="auto"/>
              <w:right w:val="single" w:sz="4" w:space="0" w:color="auto"/>
            </w:tcBorders>
            <w:shd w:val="clear" w:color="auto" w:fill="auto"/>
            <w:vAlign w:val="center"/>
          </w:tcPr>
          <w:p w:rsidR="00E159C8" w:rsidRPr="00923E53" w:rsidRDefault="003B54A6" w:rsidP="00E159C8">
            <w:pPr>
              <w:spacing w:after="0" w:line="240" w:lineRule="auto"/>
              <w:jc w:val="center"/>
              <w:rPr>
                <w:rFonts w:asciiTheme="minorHAnsi" w:eastAsia="Times New Roman" w:hAnsiTheme="minorHAnsi" w:cs="Arial"/>
                <w:lang w:val="es-MX" w:eastAsia="es-MX"/>
              </w:rPr>
            </w:pPr>
            <w:r w:rsidRPr="00923E53">
              <w:rPr>
                <w:rFonts w:asciiTheme="minorHAnsi" w:eastAsia="Times New Roman" w:hAnsiTheme="minorHAnsi" w:cs="Arial"/>
                <w:lang w:val="es-MX" w:eastAsia="es-MX"/>
              </w:rPr>
              <w:t>2</w:t>
            </w:r>
          </w:p>
        </w:tc>
        <w:tc>
          <w:tcPr>
            <w:tcW w:w="1155" w:type="dxa"/>
            <w:tcBorders>
              <w:top w:val="nil"/>
              <w:left w:val="nil"/>
              <w:bottom w:val="single" w:sz="4" w:space="0" w:color="auto"/>
              <w:right w:val="single" w:sz="4" w:space="0" w:color="auto"/>
            </w:tcBorders>
            <w:shd w:val="clear" w:color="000000" w:fill="FFFFFF"/>
            <w:vAlign w:val="center"/>
          </w:tcPr>
          <w:p w:rsidR="00E159C8" w:rsidRPr="00923E53" w:rsidRDefault="00DF6662" w:rsidP="00E159C8">
            <w:pPr>
              <w:spacing w:after="0" w:line="240" w:lineRule="auto"/>
              <w:jc w:val="center"/>
              <w:rPr>
                <w:rFonts w:asciiTheme="minorHAnsi" w:eastAsia="Times New Roman" w:hAnsiTheme="minorHAnsi" w:cs="Arial"/>
                <w:color w:val="333333"/>
                <w:lang w:val="es-MX" w:eastAsia="es-MX"/>
              </w:rPr>
            </w:pPr>
            <w:r w:rsidRPr="00923E53">
              <w:rPr>
                <w:rFonts w:asciiTheme="minorHAnsi" w:eastAsia="Times New Roman" w:hAnsiTheme="minorHAnsi" w:cs="Arial"/>
                <w:color w:val="333333"/>
                <w:lang w:val="es-MX" w:eastAsia="es-MX"/>
              </w:rPr>
              <w:t>2013</w:t>
            </w:r>
          </w:p>
        </w:tc>
        <w:tc>
          <w:tcPr>
            <w:tcW w:w="1997" w:type="dxa"/>
            <w:tcBorders>
              <w:top w:val="nil"/>
              <w:left w:val="nil"/>
              <w:bottom w:val="single" w:sz="4" w:space="0" w:color="auto"/>
              <w:right w:val="single" w:sz="4" w:space="0" w:color="auto"/>
            </w:tcBorders>
            <w:shd w:val="clear" w:color="000000" w:fill="FFFFFF"/>
            <w:vAlign w:val="center"/>
          </w:tcPr>
          <w:p w:rsidR="00DF6662" w:rsidRPr="00923E53" w:rsidRDefault="00DF6662" w:rsidP="00DF6662">
            <w:pPr>
              <w:autoSpaceDE w:val="0"/>
              <w:autoSpaceDN w:val="0"/>
              <w:adjustRightInd w:val="0"/>
              <w:spacing w:after="0" w:line="240" w:lineRule="auto"/>
              <w:rPr>
                <w:rFonts w:asciiTheme="minorHAnsi" w:eastAsiaTheme="minorHAnsi" w:hAnsiTheme="minorHAnsi"/>
                <w:color w:val="000000"/>
                <w:lang w:val="es-MX"/>
              </w:rPr>
            </w:pPr>
          </w:p>
          <w:p w:rsidR="00E159C8" w:rsidRPr="00923E53" w:rsidRDefault="00DF6662" w:rsidP="00DF6662">
            <w:pPr>
              <w:spacing w:after="0" w:line="240" w:lineRule="auto"/>
              <w:jc w:val="center"/>
              <w:rPr>
                <w:rFonts w:asciiTheme="minorHAnsi" w:eastAsia="Times New Roman" w:hAnsiTheme="minorHAnsi" w:cs="Arial"/>
                <w:color w:val="333333"/>
                <w:lang w:val="es-MX" w:eastAsia="es-MX"/>
              </w:rPr>
            </w:pPr>
            <w:r w:rsidRPr="00923E53">
              <w:rPr>
                <w:rFonts w:asciiTheme="minorHAnsi" w:eastAsiaTheme="minorHAnsi" w:hAnsiTheme="minorHAnsi"/>
                <w:color w:val="000000"/>
                <w:lang w:val="es-MX"/>
              </w:rPr>
              <w:t xml:space="preserve"> Financiera y de Cumplimiento (con Enfoque de Desempeño</w:t>
            </w:r>
          </w:p>
        </w:tc>
        <w:tc>
          <w:tcPr>
            <w:tcW w:w="998" w:type="dxa"/>
            <w:tcBorders>
              <w:top w:val="nil"/>
              <w:left w:val="nil"/>
              <w:bottom w:val="single" w:sz="4" w:space="0" w:color="auto"/>
              <w:right w:val="single" w:sz="4" w:space="0" w:color="auto"/>
            </w:tcBorders>
            <w:shd w:val="clear" w:color="000000" w:fill="FFFFFF"/>
            <w:vAlign w:val="center"/>
          </w:tcPr>
          <w:p w:rsidR="00E159C8" w:rsidRPr="00923E53" w:rsidRDefault="00DF6662" w:rsidP="00E159C8">
            <w:pPr>
              <w:spacing w:after="0" w:line="240" w:lineRule="auto"/>
              <w:jc w:val="center"/>
              <w:rPr>
                <w:rFonts w:asciiTheme="minorHAnsi" w:eastAsia="Times New Roman" w:hAnsiTheme="minorHAnsi" w:cs="Arial"/>
                <w:color w:val="333333"/>
                <w:lang w:val="es-MX" w:eastAsia="es-MX"/>
              </w:rPr>
            </w:pPr>
            <w:r w:rsidRPr="00923E53">
              <w:rPr>
                <w:rFonts w:asciiTheme="minorHAnsi" w:eastAsia="Times New Roman" w:hAnsiTheme="minorHAnsi" w:cs="Arial"/>
                <w:color w:val="333333"/>
                <w:lang w:val="es-MX" w:eastAsia="es-MX"/>
              </w:rPr>
              <w:t>952</w:t>
            </w:r>
          </w:p>
        </w:tc>
        <w:tc>
          <w:tcPr>
            <w:tcW w:w="8216" w:type="dxa"/>
            <w:tcBorders>
              <w:top w:val="nil"/>
              <w:left w:val="nil"/>
              <w:bottom w:val="single" w:sz="4" w:space="0" w:color="auto"/>
              <w:right w:val="single" w:sz="4" w:space="0" w:color="auto"/>
            </w:tcBorders>
            <w:shd w:val="clear" w:color="000000" w:fill="FFFFFF"/>
            <w:vAlign w:val="center"/>
          </w:tcPr>
          <w:p w:rsidR="00E159C8" w:rsidRPr="00923E53" w:rsidRDefault="00DF6662" w:rsidP="00DF6662">
            <w:pPr>
              <w:spacing w:after="0" w:line="240" w:lineRule="auto"/>
              <w:rPr>
                <w:rFonts w:asciiTheme="minorHAnsi" w:eastAsia="Times New Roman" w:hAnsiTheme="minorHAnsi" w:cs="Arial"/>
                <w:color w:val="333333"/>
                <w:lang w:val="es-MX" w:eastAsia="es-MX"/>
              </w:rPr>
            </w:pPr>
            <w:r w:rsidRPr="00923E53">
              <w:rPr>
                <w:rFonts w:asciiTheme="minorHAnsi" w:eastAsiaTheme="minorHAnsi" w:hAnsiTheme="minorHAnsi"/>
                <w:bCs/>
                <w:color w:val="000000"/>
                <w:lang w:val="es-MX"/>
              </w:rPr>
              <w:t>Recursos del Fondo para la Infraestructura Social Municipal</w:t>
            </w:r>
          </w:p>
        </w:tc>
        <w:tc>
          <w:tcPr>
            <w:tcW w:w="874" w:type="dxa"/>
            <w:tcBorders>
              <w:top w:val="nil"/>
              <w:left w:val="nil"/>
              <w:bottom w:val="single" w:sz="4" w:space="0" w:color="auto"/>
              <w:right w:val="single" w:sz="4" w:space="0" w:color="auto"/>
            </w:tcBorders>
            <w:shd w:val="clear" w:color="000000" w:fill="FFFFFF"/>
            <w:vAlign w:val="center"/>
          </w:tcPr>
          <w:p w:rsidR="00E159C8" w:rsidRPr="00923E53" w:rsidRDefault="00E159C8" w:rsidP="00E159C8">
            <w:pPr>
              <w:spacing w:after="0" w:line="240" w:lineRule="auto"/>
              <w:jc w:val="center"/>
              <w:rPr>
                <w:rFonts w:asciiTheme="minorHAnsi" w:eastAsia="Times New Roman" w:hAnsiTheme="minorHAnsi" w:cs="Arial"/>
                <w:color w:val="333333"/>
                <w:lang w:val="es-MX" w:eastAsia="es-MX"/>
              </w:rPr>
            </w:pPr>
          </w:p>
        </w:tc>
      </w:tr>
      <w:tr w:rsidR="00E159C8" w:rsidRPr="00923E53" w:rsidTr="00923E53">
        <w:trPr>
          <w:trHeight w:val="419"/>
        </w:trPr>
        <w:tc>
          <w:tcPr>
            <w:tcW w:w="954" w:type="dxa"/>
            <w:tcBorders>
              <w:top w:val="nil"/>
              <w:left w:val="single" w:sz="4" w:space="0" w:color="auto"/>
              <w:bottom w:val="single" w:sz="4" w:space="0" w:color="auto"/>
              <w:right w:val="single" w:sz="4" w:space="0" w:color="auto"/>
            </w:tcBorders>
            <w:shd w:val="clear" w:color="auto" w:fill="auto"/>
            <w:vAlign w:val="center"/>
          </w:tcPr>
          <w:p w:rsidR="00E159C8" w:rsidRPr="00923E53" w:rsidRDefault="003B54A6" w:rsidP="00E159C8">
            <w:pPr>
              <w:spacing w:after="0" w:line="240" w:lineRule="auto"/>
              <w:jc w:val="center"/>
              <w:rPr>
                <w:rFonts w:asciiTheme="minorHAnsi" w:eastAsia="Times New Roman" w:hAnsiTheme="minorHAnsi" w:cs="Arial"/>
                <w:lang w:val="es-MX" w:eastAsia="es-MX"/>
              </w:rPr>
            </w:pPr>
            <w:r w:rsidRPr="00923E53">
              <w:rPr>
                <w:rFonts w:asciiTheme="minorHAnsi" w:eastAsia="Times New Roman" w:hAnsiTheme="minorHAnsi" w:cs="Arial"/>
                <w:lang w:val="es-MX" w:eastAsia="es-MX"/>
              </w:rPr>
              <w:t>3</w:t>
            </w:r>
          </w:p>
        </w:tc>
        <w:tc>
          <w:tcPr>
            <w:tcW w:w="1155" w:type="dxa"/>
            <w:tcBorders>
              <w:top w:val="nil"/>
              <w:left w:val="nil"/>
              <w:bottom w:val="single" w:sz="4" w:space="0" w:color="auto"/>
              <w:right w:val="single" w:sz="4" w:space="0" w:color="auto"/>
            </w:tcBorders>
            <w:shd w:val="clear" w:color="000000" w:fill="FFFFFF"/>
            <w:vAlign w:val="center"/>
          </w:tcPr>
          <w:p w:rsidR="00E159C8" w:rsidRPr="00923E53" w:rsidRDefault="00DF6662" w:rsidP="00E159C8">
            <w:pPr>
              <w:spacing w:after="0" w:line="240" w:lineRule="auto"/>
              <w:jc w:val="center"/>
              <w:rPr>
                <w:rFonts w:asciiTheme="minorHAnsi" w:eastAsia="Times New Roman" w:hAnsiTheme="minorHAnsi" w:cs="Arial"/>
                <w:color w:val="333333"/>
                <w:lang w:val="es-MX" w:eastAsia="es-MX"/>
              </w:rPr>
            </w:pPr>
            <w:r w:rsidRPr="00923E53">
              <w:rPr>
                <w:rFonts w:asciiTheme="minorHAnsi" w:eastAsia="Times New Roman" w:hAnsiTheme="minorHAnsi" w:cs="Arial"/>
                <w:color w:val="333333"/>
                <w:lang w:val="es-MX" w:eastAsia="es-MX"/>
              </w:rPr>
              <w:t>2009</w:t>
            </w:r>
          </w:p>
        </w:tc>
        <w:tc>
          <w:tcPr>
            <w:tcW w:w="1997" w:type="dxa"/>
            <w:tcBorders>
              <w:top w:val="nil"/>
              <w:left w:val="nil"/>
              <w:bottom w:val="single" w:sz="4" w:space="0" w:color="auto"/>
              <w:right w:val="single" w:sz="4" w:space="0" w:color="auto"/>
            </w:tcBorders>
            <w:shd w:val="clear" w:color="000000" w:fill="FFFFFF"/>
            <w:vAlign w:val="center"/>
          </w:tcPr>
          <w:p w:rsidR="00DF6662" w:rsidRPr="00923E53" w:rsidRDefault="00DF6662" w:rsidP="00DF6662">
            <w:pPr>
              <w:autoSpaceDE w:val="0"/>
              <w:autoSpaceDN w:val="0"/>
              <w:adjustRightInd w:val="0"/>
              <w:spacing w:after="0" w:line="240" w:lineRule="auto"/>
              <w:rPr>
                <w:rFonts w:asciiTheme="minorHAnsi" w:eastAsiaTheme="minorHAnsi" w:hAnsiTheme="minorHAnsi"/>
                <w:color w:val="000000"/>
                <w:lang w:val="es-MX"/>
              </w:rPr>
            </w:pPr>
          </w:p>
          <w:p w:rsidR="00E159C8" w:rsidRPr="00923E53" w:rsidRDefault="00DF6662" w:rsidP="00DF6662">
            <w:pPr>
              <w:spacing w:after="0" w:line="240" w:lineRule="auto"/>
              <w:jc w:val="center"/>
              <w:rPr>
                <w:rFonts w:asciiTheme="minorHAnsi" w:eastAsia="Times New Roman" w:hAnsiTheme="minorHAnsi" w:cs="Arial"/>
                <w:color w:val="333333"/>
                <w:lang w:val="es-MX" w:eastAsia="es-MX"/>
              </w:rPr>
            </w:pPr>
            <w:r w:rsidRPr="00923E53">
              <w:rPr>
                <w:rFonts w:asciiTheme="minorHAnsi" w:eastAsiaTheme="minorHAnsi" w:hAnsiTheme="minorHAnsi"/>
                <w:color w:val="000000"/>
                <w:lang w:val="es-MX"/>
              </w:rPr>
              <w:t xml:space="preserve"> Financiera y de Cumplimiento</w:t>
            </w:r>
          </w:p>
        </w:tc>
        <w:tc>
          <w:tcPr>
            <w:tcW w:w="998" w:type="dxa"/>
            <w:tcBorders>
              <w:top w:val="nil"/>
              <w:left w:val="nil"/>
              <w:bottom w:val="single" w:sz="4" w:space="0" w:color="auto"/>
              <w:right w:val="single" w:sz="4" w:space="0" w:color="auto"/>
            </w:tcBorders>
            <w:shd w:val="clear" w:color="000000" w:fill="FFFFFF"/>
            <w:vAlign w:val="center"/>
          </w:tcPr>
          <w:p w:rsidR="00E159C8" w:rsidRPr="00923E53" w:rsidRDefault="00DF6662" w:rsidP="00E159C8">
            <w:pPr>
              <w:spacing w:after="0" w:line="240" w:lineRule="auto"/>
              <w:jc w:val="center"/>
              <w:rPr>
                <w:rFonts w:asciiTheme="minorHAnsi" w:eastAsia="Times New Roman" w:hAnsiTheme="minorHAnsi" w:cs="Arial"/>
                <w:color w:val="333333"/>
                <w:lang w:val="es-MX" w:eastAsia="es-MX"/>
              </w:rPr>
            </w:pPr>
            <w:r w:rsidRPr="00923E53">
              <w:rPr>
                <w:rFonts w:asciiTheme="minorHAnsi" w:eastAsia="Times New Roman" w:hAnsiTheme="minorHAnsi" w:cs="Arial"/>
                <w:color w:val="333333"/>
                <w:lang w:val="es-MX" w:eastAsia="es-MX"/>
              </w:rPr>
              <w:t>848</w:t>
            </w:r>
          </w:p>
        </w:tc>
        <w:tc>
          <w:tcPr>
            <w:tcW w:w="8216" w:type="dxa"/>
            <w:tcBorders>
              <w:top w:val="nil"/>
              <w:left w:val="nil"/>
              <w:bottom w:val="single" w:sz="4" w:space="0" w:color="auto"/>
              <w:right w:val="single" w:sz="4" w:space="0" w:color="auto"/>
            </w:tcBorders>
            <w:shd w:val="clear" w:color="000000" w:fill="FFFFFF"/>
            <w:vAlign w:val="center"/>
          </w:tcPr>
          <w:p w:rsidR="00DF6662" w:rsidRPr="00923E53" w:rsidRDefault="00DF6662" w:rsidP="00DF6662">
            <w:pPr>
              <w:autoSpaceDE w:val="0"/>
              <w:autoSpaceDN w:val="0"/>
              <w:adjustRightInd w:val="0"/>
              <w:spacing w:after="0" w:line="240" w:lineRule="auto"/>
              <w:rPr>
                <w:rFonts w:asciiTheme="minorHAnsi" w:eastAsiaTheme="minorHAnsi" w:hAnsiTheme="minorHAnsi"/>
                <w:color w:val="000000"/>
                <w:lang w:val="es-MX"/>
              </w:rPr>
            </w:pPr>
          </w:p>
          <w:p w:rsidR="00E159C8" w:rsidRPr="00923E53" w:rsidRDefault="00DF6662" w:rsidP="00DF6662">
            <w:pPr>
              <w:spacing w:after="0" w:line="240" w:lineRule="auto"/>
              <w:rPr>
                <w:rFonts w:asciiTheme="minorHAnsi" w:eastAsia="Times New Roman" w:hAnsiTheme="minorHAnsi" w:cs="Arial"/>
                <w:color w:val="333333"/>
                <w:lang w:val="es-MX" w:eastAsia="es-MX"/>
              </w:rPr>
            </w:pPr>
            <w:r w:rsidRPr="00923E53">
              <w:rPr>
                <w:rFonts w:asciiTheme="minorHAnsi" w:eastAsiaTheme="minorHAnsi" w:hAnsiTheme="minorHAnsi"/>
                <w:color w:val="000000"/>
                <w:lang w:val="es-MX"/>
              </w:rPr>
              <w:t xml:space="preserve"> </w:t>
            </w:r>
            <w:r w:rsidRPr="00923E53">
              <w:rPr>
                <w:rFonts w:asciiTheme="minorHAnsi" w:eastAsiaTheme="minorHAnsi" w:hAnsiTheme="minorHAnsi"/>
                <w:bCs/>
                <w:color w:val="000000"/>
                <w:lang w:val="es-MX"/>
              </w:rPr>
              <w:t>Recursos del Fondo para la Infraestructura Social Municipal. Municipio de Coyuca de Benítez, Guerrero</w:t>
            </w:r>
          </w:p>
        </w:tc>
        <w:tc>
          <w:tcPr>
            <w:tcW w:w="874" w:type="dxa"/>
            <w:tcBorders>
              <w:top w:val="nil"/>
              <w:left w:val="nil"/>
              <w:bottom w:val="single" w:sz="4" w:space="0" w:color="auto"/>
              <w:right w:val="single" w:sz="4" w:space="0" w:color="auto"/>
            </w:tcBorders>
            <w:shd w:val="clear" w:color="000000" w:fill="FFFFFF"/>
            <w:vAlign w:val="center"/>
          </w:tcPr>
          <w:p w:rsidR="00E159C8" w:rsidRPr="00923E53" w:rsidRDefault="00E159C8" w:rsidP="00E159C8">
            <w:pPr>
              <w:spacing w:after="0" w:line="240" w:lineRule="auto"/>
              <w:jc w:val="center"/>
              <w:rPr>
                <w:rFonts w:asciiTheme="minorHAnsi" w:eastAsia="Times New Roman" w:hAnsiTheme="minorHAnsi" w:cs="Arial"/>
                <w:color w:val="333333"/>
                <w:lang w:val="es-MX" w:eastAsia="es-MX"/>
              </w:rPr>
            </w:pPr>
          </w:p>
        </w:tc>
      </w:tr>
    </w:tbl>
    <w:p w:rsidR="00207A33" w:rsidRDefault="00207A33" w:rsidP="00744F90">
      <w:pPr>
        <w:pStyle w:val="Sinespaciado"/>
        <w:rPr>
          <w:rFonts w:asciiTheme="minorHAnsi" w:hAnsiTheme="minorHAnsi"/>
          <w:b/>
        </w:rPr>
      </w:pPr>
    </w:p>
    <w:p w:rsidR="00207A33" w:rsidRPr="00207A33" w:rsidRDefault="00207A33" w:rsidP="00744F90">
      <w:pPr>
        <w:pStyle w:val="Sinespaciado"/>
        <w:rPr>
          <w:rFonts w:asciiTheme="minorHAnsi" w:hAnsiTheme="minorHAnsi"/>
          <w:b/>
        </w:rPr>
      </w:pPr>
    </w:p>
    <w:p w:rsidR="00744F90" w:rsidRDefault="00744F90" w:rsidP="00744F90">
      <w:pPr>
        <w:pStyle w:val="Sinespaciado"/>
        <w:rPr>
          <w:rFonts w:asciiTheme="minorHAnsi" w:hAnsiTheme="minorHAnsi"/>
          <w:b/>
        </w:rPr>
      </w:pPr>
    </w:p>
    <w:tbl>
      <w:tblPr>
        <w:tblW w:w="14336" w:type="dxa"/>
        <w:tblCellMar>
          <w:left w:w="70" w:type="dxa"/>
          <w:right w:w="70" w:type="dxa"/>
        </w:tblCellMar>
        <w:tblLook w:val="04A0" w:firstRow="1" w:lastRow="0" w:firstColumn="1" w:lastColumn="0" w:noHBand="0" w:noVBand="1"/>
      </w:tblPr>
      <w:tblGrid>
        <w:gridCol w:w="954"/>
        <w:gridCol w:w="1155"/>
        <w:gridCol w:w="1418"/>
        <w:gridCol w:w="998"/>
        <w:gridCol w:w="8937"/>
        <w:gridCol w:w="874"/>
      </w:tblGrid>
      <w:tr w:rsidR="00207A33" w:rsidRPr="00207A33" w:rsidTr="00207A33">
        <w:trPr>
          <w:trHeight w:val="510"/>
        </w:trPr>
        <w:tc>
          <w:tcPr>
            <w:tcW w:w="954" w:type="dxa"/>
            <w:tcBorders>
              <w:top w:val="single" w:sz="4" w:space="0" w:color="auto"/>
              <w:left w:val="single" w:sz="4" w:space="0" w:color="auto"/>
              <w:bottom w:val="single" w:sz="4" w:space="0" w:color="auto"/>
              <w:right w:val="single" w:sz="4" w:space="0" w:color="auto"/>
            </w:tcBorders>
            <w:shd w:val="clear" w:color="000000" w:fill="F5F5F5"/>
            <w:vAlign w:val="center"/>
            <w:hideMark/>
          </w:tcPr>
          <w:p w:rsidR="00207A33" w:rsidRPr="00207A33" w:rsidRDefault="00207A33" w:rsidP="00971461">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No.</w:t>
            </w:r>
          </w:p>
        </w:tc>
        <w:tc>
          <w:tcPr>
            <w:tcW w:w="1155" w:type="dxa"/>
            <w:tcBorders>
              <w:top w:val="single" w:sz="4" w:space="0" w:color="auto"/>
              <w:left w:val="nil"/>
              <w:bottom w:val="single" w:sz="4" w:space="0" w:color="auto"/>
              <w:right w:val="single" w:sz="4" w:space="0" w:color="auto"/>
            </w:tcBorders>
            <w:shd w:val="clear" w:color="000000" w:fill="F5F5F5"/>
            <w:vAlign w:val="center"/>
            <w:hideMark/>
          </w:tcPr>
          <w:p w:rsidR="00207A33" w:rsidRPr="00207A33" w:rsidRDefault="00207A33" w:rsidP="00971461">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Año Cuenta Pública</w:t>
            </w:r>
          </w:p>
        </w:tc>
        <w:tc>
          <w:tcPr>
            <w:tcW w:w="1418" w:type="dxa"/>
            <w:tcBorders>
              <w:top w:val="single" w:sz="4" w:space="0" w:color="auto"/>
              <w:left w:val="nil"/>
              <w:bottom w:val="single" w:sz="4" w:space="0" w:color="auto"/>
              <w:right w:val="single" w:sz="4" w:space="0" w:color="auto"/>
            </w:tcBorders>
            <w:shd w:val="clear" w:color="000000" w:fill="F5F5F5"/>
            <w:vAlign w:val="center"/>
            <w:hideMark/>
          </w:tcPr>
          <w:p w:rsidR="00207A33" w:rsidRPr="00207A33" w:rsidRDefault="00207A33" w:rsidP="00971461">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Tipo Auditoría</w:t>
            </w:r>
          </w:p>
        </w:tc>
        <w:tc>
          <w:tcPr>
            <w:tcW w:w="998" w:type="dxa"/>
            <w:tcBorders>
              <w:top w:val="single" w:sz="4" w:space="0" w:color="auto"/>
              <w:left w:val="nil"/>
              <w:bottom w:val="single" w:sz="4" w:space="0" w:color="auto"/>
              <w:right w:val="single" w:sz="4" w:space="0" w:color="auto"/>
            </w:tcBorders>
            <w:shd w:val="clear" w:color="000000" w:fill="F5F5F5"/>
            <w:vAlign w:val="center"/>
            <w:hideMark/>
          </w:tcPr>
          <w:p w:rsidR="00207A33" w:rsidRPr="00207A33" w:rsidRDefault="00207A33" w:rsidP="00971461">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Número</w:t>
            </w:r>
          </w:p>
        </w:tc>
        <w:tc>
          <w:tcPr>
            <w:tcW w:w="8937" w:type="dxa"/>
            <w:tcBorders>
              <w:top w:val="single" w:sz="4" w:space="0" w:color="auto"/>
              <w:left w:val="nil"/>
              <w:bottom w:val="single" w:sz="4" w:space="0" w:color="auto"/>
              <w:right w:val="single" w:sz="4" w:space="0" w:color="auto"/>
            </w:tcBorders>
            <w:shd w:val="clear" w:color="000000" w:fill="F5F5F5"/>
            <w:vAlign w:val="center"/>
            <w:hideMark/>
          </w:tcPr>
          <w:p w:rsidR="00207A33" w:rsidRPr="00207A33" w:rsidRDefault="00207A33" w:rsidP="00971461">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Título</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207A33" w:rsidRPr="00207A33" w:rsidRDefault="00207A33" w:rsidP="00971461">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Acciones</w:t>
            </w:r>
          </w:p>
        </w:tc>
      </w:tr>
      <w:tr w:rsidR="00DF6662" w:rsidRPr="00C7526F" w:rsidTr="00DD4C98">
        <w:trPr>
          <w:trHeight w:val="51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DF6662" w:rsidRPr="00C7526F" w:rsidRDefault="00DF6662" w:rsidP="00DD4C98">
            <w:pPr>
              <w:spacing w:after="0" w:line="240" w:lineRule="auto"/>
              <w:jc w:val="center"/>
              <w:rPr>
                <w:rFonts w:ascii="Arial" w:eastAsia="Times New Roman" w:hAnsi="Arial" w:cs="Arial"/>
                <w:sz w:val="20"/>
                <w:szCs w:val="20"/>
                <w:lang w:val="es-MX" w:eastAsia="es-MX"/>
              </w:rPr>
            </w:pPr>
            <w:bookmarkStart w:id="0" w:name="_GoBack"/>
            <w:r w:rsidRPr="00C7526F">
              <w:rPr>
                <w:rFonts w:ascii="Arial" w:eastAsia="Times New Roman" w:hAnsi="Arial" w:cs="Arial"/>
                <w:sz w:val="20"/>
                <w:szCs w:val="20"/>
                <w:lang w:val="es-MX" w:eastAsia="es-MX"/>
              </w:rPr>
              <w:t>1</w:t>
            </w:r>
          </w:p>
        </w:tc>
        <w:tc>
          <w:tcPr>
            <w:tcW w:w="1155" w:type="dxa"/>
            <w:tcBorders>
              <w:top w:val="single" w:sz="4" w:space="0" w:color="auto"/>
              <w:left w:val="nil"/>
              <w:bottom w:val="single" w:sz="4" w:space="0" w:color="auto"/>
              <w:right w:val="single" w:sz="4" w:space="0" w:color="auto"/>
            </w:tcBorders>
            <w:shd w:val="clear" w:color="auto" w:fill="auto"/>
            <w:vAlign w:val="center"/>
          </w:tcPr>
          <w:p w:rsidR="00DF6662" w:rsidRPr="00C7526F" w:rsidRDefault="00DF6662" w:rsidP="00DD4C98">
            <w:pPr>
              <w:spacing w:after="0" w:line="240" w:lineRule="auto"/>
              <w:jc w:val="center"/>
              <w:rPr>
                <w:rFonts w:eastAsia="Times New Roman" w:cs="Arial"/>
                <w:bCs/>
                <w:color w:val="333333"/>
                <w:sz w:val="20"/>
                <w:szCs w:val="20"/>
                <w:lang w:val="es-MX" w:eastAsia="es-MX"/>
              </w:rPr>
            </w:pPr>
            <w:r w:rsidRPr="00C7526F">
              <w:rPr>
                <w:rFonts w:eastAsia="Times New Roman" w:cs="Arial"/>
                <w:bCs/>
                <w:color w:val="333333"/>
                <w:sz w:val="20"/>
                <w:szCs w:val="20"/>
                <w:lang w:val="es-MX" w:eastAsia="es-MX"/>
              </w:rPr>
              <w:t>2014</w:t>
            </w:r>
          </w:p>
        </w:tc>
        <w:tc>
          <w:tcPr>
            <w:tcW w:w="1418" w:type="dxa"/>
            <w:tcBorders>
              <w:top w:val="single" w:sz="4" w:space="0" w:color="auto"/>
              <w:left w:val="nil"/>
              <w:bottom w:val="single" w:sz="4" w:space="0" w:color="auto"/>
              <w:right w:val="single" w:sz="4" w:space="0" w:color="auto"/>
            </w:tcBorders>
            <w:shd w:val="clear" w:color="auto" w:fill="auto"/>
            <w:vAlign w:val="center"/>
          </w:tcPr>
          <w:p w:rsidR="00DF6662" w:rsidRPr="00C7526F" w:rsidRDefault="00DF6662" w:rsidP="00DD4C98">
            <w:pPr>
              <w:autoSpaceDE w:val="0"/>
              <w:autoSpaceDN w:val="0"/>
              <w:adjustRightInd w:val="0"/>
              <w:spacing w:after="0" w:line="240" w:lineRule="auto"/>
              <w:rPr>
                <w:rFonts w:eastAsiaTheme="minorHAnsi"/>
                <w:color w:val="000000"/>
                <w:sz w:val="24"/>
                <w:szCs w:val="24"/>
                <w:lang w:val="es-MX"/>
              </w:rPr>
            </w:pPr>
          </w:p>
          <w:p w:rsidR="00DF6662" w:rsidRPr="00C7526F" w:rsidRDefault="00DF6662" w:rsidP="00DD4C98">
            <w:pPr>
              <w:spacing w:after="0" w:line="240" w:lineRule="auto"/>
              <w:jc w:val="center"/>
              <w:rPr>
                <w:rFonts w:eastAsia="Times New Roman" w:cs="Arial"/>
                <w:color w:val="333333"/>
                <w:sz w:val="20"/>
                <w:szCs w:val="20"/>
                <w:lang w:val="es-MX" w:eastAsia="es-MX"/>
              </w:rPr>
            </w:pPr>
            <w:r w:rsidRPr="00C7526F">
              <w:rPr>
                <w:rFonts w:eastAsiaTheme="minorHAnsi"/>
                <w:color w:val="000000"/>
                <w:sz w:val="24"/>
                <w:szCs w:val="24"/>
                <w:lang w:val="es-MX"/>
              </w:rPr>
              <w:t xml:space="preserve"> </w:t>
            </w:r>
            <w:r w:rsidRPr="00C7526F">
              <w:rPr>
                <w:rFonts w:eastAsiaTheme="minorHAnsi"/>
                <w:color w:val="000000"/>
                <w:lang w:val="es-MX"/>
              </w:rPr>
              <w:t xml:space="preserve">Financiera con Enfoque </w:t>
            </w:r>
            <w:r w:rsidRPr="00C7526F">
              <w:rPr>
                <w:rFonts w:eastAsiaTheme="minorHAnsi"/>
                <w:color w:val="000000"/>
                <w:lang w:val="es-MX"/>
              </w:rPr>
              <w:lastRenderedPageBreak/>
              <w:t>de Desempeño</w:t>
            </w:r>
          </w:p>
        </w:tc>
        <w:tc>
          <w:tcPr>
            <w:tcW w:w="998" w:type="dxa"/>
            <w:tcBorders>
              <w:top w:val="single" w:sz="4" w:space="0" w:color="auto"/>
              <w:left w:val="nil"/>
              <w:bottom w:val="single" w:sz="4" w:space="0" w:color="auto"/>
              <w:right w:val="single" w:sz="4" w:space="0" w:color="auto"/>
            </w:tcBorders>
            <w:shd w:val="clear" w:color="auto" w:fill="auto"/>
            <w:vAlign w:val="center"/>
          </w:tcPr>
          <w:p w:rsidR="00DF6662" w:rsidRPr="00C7526F" w:rsidRDefault="00DF6662" w:rsidP="00DD4C98">
            <w:pPr>
              <w:spacing w:after="0" w:line="240" w:lineRule="auto"/>
              <w:jc w:val="center"/>
              <w:rPr>
                <w:rFonts w:eastAsia="Times New Roman" w:cs="Arial"/>
                <w:bCs/>
                <w:color w:val="333333"/>
                <w:sz w:val="20"/>
                <w:szCs w:val="20"/>
                <w:lang w:val="es-MX" w:eastAsia="es-MX"/>
              </w:rPr>
            </w:pPr>
            <w:r w:rsidRPr="00C7526F">
              <w:rPr>
                <w:rFonts w:eastAsia="Times New Roman" w:cs="Arial"/>
                <w:bCs/>
                <w:color w:val="333333"/>
                <w:sz w:val="20"/>
                <w:szCs w:val="20"/>
                <w:lang w:val="es-MX" w:eastAsia="es-MX"/>
              </w:rPr>
              <w:lastRenderedPageBreak/>
              <w:t>1220</w:t>
            </w:r>
          </w:p>
        </w:tc>
        <w:tc>
          <w:tcPr>
            <w:tcW w:w="8937" w:type="dxa"/>
            <w:tcBorders>
              <w:top w:val="single" w:sz="4" w:space="0" w:color="auto"/>
              <w:left w:val="nil"/>
              <w:bottom w:val="single" w:sz="4" w:space="0" w:color="auto"/>
              <w:right w:val="single" w:sz="4" w:space="0" w:color="auto"/>
            </w:tcBorders>
            <w:shd w:val="clear" w:color="auto" w:fill="auto"/>
            <w:vAlign w:val="center"/>
          </w:tcPr>
          <w:p w:rsidR="00DF6662" w:rsidRPr="00C7526F" w:rsidRDefault="00DF6662" w:rsidP="00DD4C98">
            <w:pPr>
              <w:autoSpaceDE w:val="0"/>
              <w:autoSpaceDN w:val="0"/>
              <w:adjustRightInd w:val="0"/>
              <w:spacing w:after="0" w:line="240" w:lineRule="auto"/>
              <w:rPr>
                <w:rFonts w:eastAsiaTheme="minorHAnsi"/>
                <w:color w:val="000000"/>
                <w:sz w:val="24"/>
                <w:szCs w:val="24"/>
                <w:lang w:val="es-MX"/>
              </w:rPr>
            </w:pPr>
          </w:p>
          <w:p w:rsidR="00DF6662" w:rsidRPr="00C7526F" w:rsidRDefault="00DF6662" w:rsidP="00DD4C98">
            <w:pPr>
              <w:spacing w:after="0" w:line="240" w:lineRule="auto"/>
              <w:rPr>
                <w:rFonts w:eastAsia="Times New Roman" w:cs="Arial"/>
                <w:bCs/>
                <w:color w:val="333333"/>
                <w:sz w:val="20"/>
                <w:szCs w:val="20"/>
                <w:lang w:val="es-MX" w:eastAsia="es-MX"/>
              </w:rPr>
            </w:pPr>
            <w:r w:rsidRPr="00C7526F">
              <w:rPr>
                <w:rFonts w:eastAsiaTheme="minorHAnsi"/>
                <w:color w:val="000000"/>
                <w:sz w:val="24"/>
                <w:szCs w:val="24"/>
                <w:lang w:val="es-MX"/>
              </w:rPr>
              <w:t xml:space="preserve"> </w:t>
            </w:r>
            <w:r w:rsidRPr="00C7526F">
              <w:rPr>
                <w:rFonts w:eastAsiaTheme="minorHAnsi"/>
                <w:bCs/>
                <w:color w:val="000000"/>
                <w:lang w:val="es-MX"/>
              </w:rPr>
              <w:t>Recursos del Fondo de Aportaciones para la Infraestructura Social Municipal y de las Demarcaciones Territoriales del Distrito Federal</w:t>
            </w:r>
          </w:p>
        </w:tc>
        <w:tc>
          <w:tcPr>
            <w:tcW w:w="874" w:type="dxa"/>
            <w:tcBorders>
              <w:top w:val="single" w:sz="4" w:space="0" w:color="auto"/>
              <w:left w:val="nil"/>
              <w:bottom w:val="single" w:sz="4" w:space="0" w:color="auto"/>
              <w:right w:val="single" w:sz="4" w:space="0" w:color="auto"/>
            </w:tcBorders>
            <w:shd w:val="clear" w:color="000000" w:fill="FFFFFF"/>
            <w:vAlign w:val="center"/>
          </w:tcPr>
          <w:p w:rsidR="00DF6662" w:rsidRPr="00C7526F" w:rsidRDefault="00DF6662" w:rsidP="00DD4C98">
            <w:pPr>
              <w:spacing w:after="0" w:line="240" w:lineRule="auto"/>
              <w:jc w:val="center"/>
              <w:rPr>
                <w:rFonts w:eastAsia="Times New Roman" w:cs="Arial"/>
                <w:bCs/>
                <w:color w:val="333333"/>
                <w:sz w:val="20"/>
                <w:szCs w:val="20"/>
                <w:lang w:val="es-MX" w:eastAsia="es-MX"/>
              </w:rPr>
            </w:pPr>
          </w:p>
        </w:tc>
      </w:tr>
      <w:bookmarkEnd w:id="0"/>
      <w:tr w:rsidR="002F2E50" w:rsidRPr="00207A33" w:rsidTr="007A2577">
        <w:trPr>
          <w:trHeight w:val="861"/>
        </w:trPr>
        <w:tc>
          <w:tcPr>
            <w:tcW w:w="143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F2E50" w:rsidRPr="00C81F70" w:rsidRDefault="002F2E50" w:rsidP="005F24E1">
            <w:pPr>
              <w:spacing w:after="0" w:line="240" w:lineRule="auto"/>
              <w:rPr>
                <w:rFonts w:eastAsia="Times New Roman" w:cs="Arial"/>
                <w:b/>
                <w:color w:val="333333"/>
                <w:lang w:val="es-MX" w:eastAsia="es-MX"/>
              </w:rPr>
            </w:pPr>
          </w:p>
          <w:p w:rsidR="002F2E50" w:rsidRPr="00C81F70" w:rsidRDefault="002F2E50" w:rsidP="002F2E50">
            <w:pPr>
              <w:spacing w:after="0" w:line="240" w:lineRule="auto"/>
              <w:jc w:val="center"/>
              <w:rPr>
                <w:rFonts w:eastAsia="Times New Roman" w:cs="Arial"/>
                <w:b/>
                <w:color w:val="333333"/>
                <w:lang w:val="es-MX" w:eastAsia="es-MX"/>
              </w:rPr>
            </w:pPr>
            <w:r w:rsidRPr="00C81F70">
              <w:rPr>
                <w:rFonts w:eastAsia="Times New Roman" w:cs="Arial"/>
                <w:b/>
                <w:color w:val="333333"/>
                <w:lang w:val="es-MX" w:eastAsia="es-MX"/>
              </w:rPr>
              <w:t>DICTÁMEN</w:t>
            </w:r>
          </w:p>
          <w:p w:rsidR="00DF6662" w:rsidRPr="00DF6662" w:rsidRDefault="00DF6662" w:rsidP="00DF6662">
            <w:pPr>
              <w:autoSpaceDE w:val="0"/>
              <w:autoSpaceDN w:val="0"/>
              <w:adjustRightInd w:val="0"/>
              <w:spacing w:after="0" w:line="240" w:lineRule="auto"/>
              <w:rPr>
                <w:rFonts w:eastAsiaTheme="minorHAnsi"/>
                <w:color w:val="000000"/>
                <w:lang w:val="es-MX"/>
              </w:rPr>
            </w:pPr>
            <w:r w:rsidRPr="00DF6662">
              <w:rPr>
                <w:rFonts w:eastAsiaTheme="minorHAnsi"/>
                <w:color w:val="000000"/>
                <w:lang w:val="es-MX"/>
              </w:rPr>
              <w:t xml:space="preserve">La Auditoría Superior de la Federación revisó una muestra de 86,777.6 miles de pesos, que representó el 100.0% de los recursos transferidos al municipio de Coyuca de Benítez, Guerrero, mediante el Fondo de Aportaciones para la Infraestructura Social Municipal y de las Demarcaciones Territoriales del Distrito Federal (FISMDF); la auditoría se practicó sobre la información proporcionada por la entidad fiscalizada, de cuya veracidad es responsable. </w:t>
            </w:r>
          </w:p>
          <w:p w:rsidR="00DF6662" w:rsidRPr="00DF6662" w:rsidRDefault="00DF6662" w:rsidP="00DF6662">
            <w:pPr>
              <w:autoSpaceDE w:val="0"/>
              <w:autoSpaceDN w:val="0"/>
              <w:adjustRightInd w:val="0"/>
              <w:spacing w:after="0" w:line="240" w:lineRule="auto"/>
              <w:rPr>
                <w:rFonts w:eastAsiaTheme="minorHAnsi"/>
                <w:color w:val="000000"/>
                <w:lang w:val="es-MX"/>
              </w:rPr>
            </w:pPr>
            <w:r w:rsidRPr="00DF6662">
              <w:rPr>
                <w:rFonts w:eastAsiaTheme="minorHAnsi"/>
                <w:color w:val="000000"/>
                <w:lang w:val="es-MX"/>
              </w:rPr>
              <w:t xml:space="preserve">Al 31 de diciembre de 2014, el municipio gastó el 80.2% de los recursos transferidos y al cierre de la auditoría, 31 de mayo de 2015, el 99.9%. </w:t>
            </w:r>
          </w:p>
          <w:p w:rsidR="00DF6662" w:rsidRPr="00DF6662" w:rsidRDefault="00DF6662" w:rsidP="00DF6662">
            <w:pPr>
              <w:pStyle w:val="Default"/>
              <w:rPr>
                <w:sz w:val="22"/>
                <w:szCs w:val="22"/>
              </w:rPr>
            </w:pPr>
            <w:r w:rsidRPr="00DF6662">
              <w:t>En el ejercicio de los recursos, el municipio registró inobservancias de la normativa, principalmente en materia de en materia de obra pública, así como de la Ley de Coordinación Fiscal, los Lineamientos generales para la operación del Fondo de Aportaciones para la Infraestructura Social y la Ley General de Contabilidad Gubernamental que generaron un</w:t>
            </w:r>
            <w:r>
              <w:t xml:space="preserve"> </w:t>
            </w:r>
            <w:r w:rsidRPr="00DF6662">
              <w:rPr>
                <w:sz w:val="22"/>
                <w:szCs w:val="22"/>
              </w:rPr>
              <w:t xml:space="preserve">probable daño a la Hacienda Pública Federal por un importe de 7,960.1 miles de pesos, el cual representa el 9.2% de la muestra auditada; las observaciones determinadas derivaron en la promoción de las acciones correspondientes. </w:t>
            </w:r>
          </w:p>
          <w:p w:rsidR="00DF6662" w:rsidRPr="00DF6662" w:rsidRDefault="00DF6662" w:rsidP="00DF6662">
            <w:pPr>
              <w:autoSpaceDE w:val="0"/>
              <w:autoSpaceDN w:val="0"/>
              <w:adjustRightInd w:val="0"/>
              <w:spacing w:after="0" w:line="240" w:lineRule="auto"/>
              <w:rPr>
                <w:rFonts w:eastAsiaTheme="minorHAnsi"/>
                <w:color w:val="000000"/>
                <w:lang w:val="es-MX"/>
              </w:rPr>
            </w:pPr>
            <w:r w:rsidRPr="00DF6662">
              <w:rPr>
                <w:rFonts w:eastAsiaTheme="minorHAnsi"/>
                <w:color w:val="000000"/>
                <w:lang w:val="es-MX"/>
              </w:rPr>
              <w:t xml:space="preserve">El municipio no dispone de un adecuado Sistema de Control Interno que le permita identificar y atender los riesgos que limitan el cumplimiento de los objetivos del FISMDF, la observancia de su normativa y el manejo ordenado, eficiente y transparente de los recursos, lo que incidió en las irregularidades determinadas en la auditoría. </w:t>
            </w:r>
          </w:p>
          <w:p w:rsidR="00DF6662" w:rsidRPr="00DF6662" w:rsidRDefault="00DF6662" w:rsidP="00DF6662">
            <w:pPr>
              <w:autoSpaceDE w:val="0"/>
              <w:autoSpaceDN w:val="0"/>
              <w:adjustRightInd w:val="0"/>
              <w:spacing w:after="0" w:line="240" w:lineRule="auto"/>
              <w:rPr>
                <w:rFonts w:eastAsiaTheme="minorHAnsi"/>
                <w:color w:val="000000"/>
                <w:lang w:val="es-MX"/>
              </w:rPr>
            </w:pPr>
            <w:r w:rsidRPr="00DF6662">
              <w:rPr>
                <w:rFonts w:eastAsiaTheme="minorHAnsi"/>
                <w:color w:val="000000"/>
                <w:lang w:val="es-MX"/>
              </w:rPr>
              <w:t xml:space="preserve">Se registraron igualmente incumplimientos de las obligaciones de transparencia sobre la gestión del FISMDF, ya que el municipio no proporcionó a la SHCP uno de los informes previstos por la normativa sobre el ejercicio y destino de los recursos. </w:t>
            </w:r>
          </w:p>
          <w:p w:rsidR="00DF6662" w:rsidRPr="00DF6662" w:rsidRDefault="00DF6662" w:rsidP="00DF6662">
            <w:pPr>
              <w:autoSpaceDE w:val="0"/>
              <w:autoSpaceDN w:val="0"/>
              <w:adjustRightInd w:val="0"/>
              <w:spacing w:after="0" w:line="240" w:lineRule="auto"/>
              <w:rPr>
                <w:rFonts w:eastAsiaTheme="minorHAnsi"/>
                <w:color w:val="000000"/>
                <w:lang w:val="es-MX"/>
              </w:rPr>
            </w:pPr>
            <w:r w:rsidRPr="00DF6662">
              <w:rPr>
                <w:rFonts w:eastAsiaTheme="minorHAnsi"/>
                <w:color w:val="000000"/>
                <w:lang w:val="es-MX"/>
              </w:rPr>
              <w:t xml:space="preserve">Los objetivos y metas del fondo se cumplieron parcialmente, ya que el municipio invirtió 3,790.0 miles de pesos (4.4% de lo asignado) en obras y acciones que no están considerados en los lineamientos establecidos por la SEDESOL, no cuentan con la opinión favorable de esta dependencia federal para considerarse como proyectos especiales, y tampoco corresponden a los rubros establecidos en la Ley de Coordinación Fiscal. </w:t>
            </w:r>
          </w:p>
          <w:p w:rsidR="00DF6662" w:rsidRPr="00DF6662" w:rsidRDefault="00DF6662" w:rsidP="00DF6662">
            <w:pPr>
              <w:autoSpaceDE w:val="0"/>
              <w:autoSpaceDN w:val="0"/>
              <w:adjustRightInd w:val="0"/>
              <w:spacing w:after="0" w:line="240" w:lineRule="auto"/>
              <w:rPr>
                <w:rFonts w:eastAsiaTheme="minorHAnsi"/>
                <w:color w:val="000000"/>
                <w:lang w:val="es-MX"/>
              </w:rPr>
            </w:pPr>
            <w:r w:rsidRPr="00DF6662">
              <w:rPr>
                <w:rFonts w:eastAsiaTheme="minorHAnsi"/>
                <w:color w:val="000000"/>
                <w:lang w:val="es-MX"/>
              </w:rPr>
              <w:t xml:space="preserve">Es importante mencionar que se cumplió con el porcentaje de recursos establecido para la atención de las Zonas de Atención Prioritaria, en virtud de que se destinó para estas áreas el 67.4%, cuando debió ser al menos el 60.0%; en tanto que el porcentaje que se invirtió en proyectos de incidencia directa fue del 78.2%, cuando debió ser por lo menos el 60.0% de los recursos transferidos. </w:t>
            </w:r>
          </w:p>
          <w:p w:rsidR="00DF6662" w:rsidRPr="00DF6662" w:rsidRDefault="00DF6662" w:rsidP="00DF6662">
            <w:pPr>
              <w:autoSpaceDE w:val="0"/>
              <w:autoSpaceDN w:val="0"/>
              <w:adjustRightInd w:val="0"/>
              <w:spacing w:after="0" w:line="240" w:lineRule="auto"/>
              <w:rPr>
                <w:rFonts w:eastAsiaTheme="minorHAnsi"/>
                <w:color w:val="000000"/>
                <w:lang w:val="es-MX"/>
              </w:rPr>
            </w:pPr>
            <w:r w:rsidRPr="00DF6662">
              <w:rPr>
                <w:rFonts w:eastAsiaTheme="minorHAnsi"/>
                <w:color w:val="000000"/>
                <w:lang w:val="es-MX"/>
              </w:rPr>
              <w:t xml:space="preserve">Cabe destacar que el municipio, en conjunto, destinó el 67.8% de lo gastado en obras y acciones de Infraestructura Básica (agua potable, drenaje y letrinas, electrificación y mejoramiento de vivienda). </w:t>
            </w:r>
          </w:p>
          <w:p w:rsidR="002F2E50" w:rsidRPr="00C81F70" w:rsidRDefault="00DF6662" w:rsidP="00DF6662">
            <w:pPr>
              <w:spacing w:after="0" w:line="240" w:lineRule="auto"/>
              <w:rPr>
                <w:rFonts w:eastAsia="Times New Roman" w:cs="Arial"/>
                <w:color w:val="333333"/>
                <w:lang w:val="es-MX" w:eastAsia="es-MX"/>
              </w:rPr>
            </w:pPr>
            <w:r w:rsidRPr="00DF6662">
              <w:rPr>
                <w:rFonts w:eastAsiaTheme="minorHAnsi"/>
                <w:color w:val="000000"/>
                <w:highlight w:val="yellow"/>
                <w:lang w:val="es-MX"/>
              </w:rPr>
              <w:t>En conclusión, el municipio de Coyuca de Benítez, Guerrero, realizó, en general, una gestión razonable de los recursos del Fondo de Aportaciones para la Infraestructura Social Municipal y de las Demarcaciones Territoriales del Distrito Federal, excepto por las áreas de oportunidad identificadas para mejorar la eficiencia en el uso de los recursos.</w:t>
            </w:r>
          </w:p>
        </w:tc>
      </w:tr>
      <w:tr w:rsidR="002F2E50" w:rsidRPr="00207A33" w:rsidTr="007A2577">
        <w:trPr>
          <w:trHeight w:val="861"/>
        </w:trPr>
        <w:tc>
          <w:tcPr>
            <w:tcW w:w="143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F2E50" w:rsidRPr="00C81F70" w:rsidRDefault="002F2E50" w:rsidP="002F2E50">
            <w:pPr>
              <w:spacing w:after="0" w:line="240" w:lineRule="auto"/>
              <w:jc w:val="center"/>
              <w:rPr>
                <w:rFonts w:eastAsia="Times New Roman" w:cs="Arial"/>
                <w:b/>
                <w:color w:val="333333"/>
                <w:lang w:val="es-MX" w:eastAsia="es-MX"/>
              </w:rPr>
            </w:pPr>
          </w:p>
          <w:p w:rsidR="002F2E50" w:rsidRDefault="002F2E50" w:rsidP="002F2E50">
            <w:pPr>
              <w:spacing w:after="0" w:line="240" w:lineRule="auto"/>
              <w:jc w:val="center"/>
              <w:rPr>
                <w:rFonts w:eastAsia="Times New Roman" w:cs="Arial"/>
                <w:b/>
                <w:color w:val="333333"/>
                <w:lang w:val="es-MX" w:eastAsia="es-MX"/>
              </w:rPr>
            </w:pPr>
            <w:r w:rsidRPr="00C81F70">
              <w:rPr>
                <w:rFonts w:eastAsia="Times New Roman" w:cs="Arial"/>
                <w:b/>
                <w:color w:val="333333"/>
                <w:lang w:val="es-MX" w:eastAsia="es-MX"/>
              </w:rPr>
              <w:t>PLIEGO DE OBSERVACIONES</w:t>
            </w:r>
          </w:p>
          <w:p w:rsidR="00DF6662" w:rsidRDefault="00DF6662" w:rsidP="00DF6662">
            <w:pPr>
              <w:autoSpaceDE w:val="0"/>
              <w:autoSpaceDN w:val="0"/>
              <w:adjustRightInd w:val="0"/>
              <w:spacing w:after="0" w:line="240" w:lineRule="auto"/>
              <w:jc w:val="center"/>
              <w:rPr>
                <w:rFonts w:eastAsiaTheme="minorHAnsi"/>
                <w:color w:val="000000"/>
                <w:lang w:val="es-MX"/>
              </w:rPr>
            </w:pPr>
            <w:r w:rsidRPr="00DF6662">
              <w:rPr>
                <w:rFonts w:eastAsiaTheme="minorHAnsi"/>
                <w:color w:val="000000"/>
                <w:lang w:val="es-MX"/>
              </w:rPr>
              <w:t>14-D-12021-14-1220-06-001</w:t>
            </w:r>
          </w:p>
          <w:p w:rsidR="00DF6662" w:rsidRPr="00DF6662" w:rsidRDefault="00DF6662" w:rsidP="00DF6662">
            <w:pPr>
              <w:autoSpaceDE w:val="0"/>
              <w:autoSpaceDN w:val="0"/>
              <w:adjustRightInd w:val="0"/>
              <w:spacing w:after="0" w:line="240" w:lineRule="auto"/>
              <w:rPr>
                <w:rFonts w:eastAsiaTheme="minorHAnsi"/>
                <w:color w:val="000000"/>
                <w:lang w:val="es-MX"/>
              </w:rPr>
            </w:pPr>
          </w:p>
          <w:p w:rsidR="00C81F70" w:rsidRDefault="00DF6662" w:rsidP="00DF6662">
            <w:pPr>
              <w:pStyle w:val="Default"/>
              <w:rPr>
                <w:sz w:val="22"/>
                <w:szCs w:val="22"/>
              </w:rPr>
            </w:pPr>
            <w:r w:rsidRPr="00DF6662">
              <w:lastRenderedPageBreak/>
              <w:t>Se presume un probable daño o perjuicio o ambos a la Hacienda Pública Federal por un monto de 3,790,027.50 pesos (tres millones setecientos noventa mil veintisiete pesos 50/100 M.N.) más los intereses generados desde su disposición hasta su reintegro a la cuenta del fondo, por ejercer Recursos del Fondo de Aportaciones para la Infraestructura Social Municipal y de las Demarcaciones Territoriales del Distrito Federal (FISMDF 2014) en la adquisición de fertilizante, concepto no considerado en el Catálogo de acciones de los Lineamientos del</w:t>
            </w:r>
            <w:r>
              <w:t xml:space="preserve"> </w:t>
            </w:r>
            <w:r w:rsidRPr="00DF6662">
              <w:rPr>
                <w:sz w:val="22"/>
                <w:szCs w:val="22"/>
              </w:rPr>
              <w:t xml:space="preserve">Fondo previsto por la Ley de Coordinación Fiscal; en su caso, deberán ser acreditados ante este órgano de fiscalización con la evidencia documental de su destino y aplicación en los objetivos del fondo, de acuerdo la Ley de Coordinación Fiscal. </w:t>
            </w:r>
          </w:p>
          <w:p w:rsidR="00DF6662" w:rsidRDefault="00DF6662" w:rsidP="00DF6662">
            <w:pPr>
              <w:pStyle w:val="Default"/>
              <w:rPr>
                <w:sz w:val="22"/>
                <w:szCs w:val="22"/>
              </w:rPr>
            </w:pPr>
          </w:p>
          <w:p w:rsidR="00DF6662" w:rsidRPr="00DF6662" w:rsidRDefault="00DF6662" w:rsidP="00DF6662">
            <w:pPr>
              <w:autoSpaceDE w:val="0"/>
              <w:autoSpaceDN w:val="0"/>
              <w:adjustRightInd w:val="0"/>
              <w:spacing w:after="0" w:line="240" w:lineRule="auto"/>
              <w:rPr>
                <w:rFonts w:eastAsiaTheme="minorHAnsi"/>
                <w:color w:val="000000"/>
                <w:lang w:val="es-MX"/>
              </w:rPr>
            </w:pPr>
            <w:r w:rsidRPr="00DF6662">
              <w:rPr>
                <w:rFonts w:eastAsiaTheme="minorHAnsi"/>
                <w:color w:val="000000"/>
                <w:lang w:val="es-MX"/>
              </w:rPr>
              <w:t xml:space="preserve">Dichas obras y acciones se realizaron bajo el concepto de proyectos especiales y fueron autorizadas por el Comité de Revisión de Proyectos Especiales; de lo anterior, </w:t>
            </w:r>
            <w:r w:rsidRPr="00DF6662">
              <w:rPr>
                <w:rFonts w:eastAsiaTheme="minorHAnsi"/>
                <w:color w:val="000000"/>
                <w:highlight w:val="yellow"/>
                <w:lang w:val="es-MX"/>
              </w:rPr>
              <w:t>el municipio destinó 1,566.8 miles de pesos (1.8% de lo pagado) en proyectos que no se encuentran en el Catálogo del fondo pero obtuvieron una opinión favorable de la SEDESOL</w:t>
            </w:r>
            <w:r w:rsidRPr="00DF6662">
              <w:rPr>
                <w:rFonts w:eastAsiaTheme="minorHAnsi"/>
                <w:color w:val="000000"/>
                <w:lang w:val="es-MX"/>
              </w:rPr>
              <w:t xml:space="preserve">, y corresponden a Pavimentación de albergue comunitario en San José Tasajera, Pavimentación de albergue comunitario en Ocotillo (canchas y techados) y Programa rescate espacios públicos; conceptos que no corresponden a los rubros que establece la Ley de Coordinación Fiscal. </w:t>
            </w:r>
          </w:p>
          <w:p w:rsidR="00DF6662" w:rsidRDefault="00DF6662" w:rsidP="00DF6662">
            <w:pPr>
              <w:pStyle w:val="Default"/>
              <w:rPr>
                <w:sz w:val="22"/>
                <w:szCs w:val="22"/>
              </w:rPr>
            </w:pPr>
          </w:p>
          <w:p w:rsidR="00DF6662" w:rsidRDefault="00DF6662" w:rsidP="00DF6662">
            <w:pPr>
              <w:pStyle w:val="Default"/>
              <w:rPr>
                <w:sz w:val="22"/>
                <w:szCs w:val="22"/>
              </w:rPr>
            </w:pPr>
            <w:r w:rsidRPr="00DF6662">
              <w:rPr>
                <w:sz w:val="22"/>
                <w:szCs w:val="22"/>
              </w:rPr>
              <w:t xml:space="preserve">La </w:t>
            </w:r>
            <w:r w:rsidRPr="00DF6662">
              <w:rPr>
                <w:sz w:val="22"/>
                <w:szCs w:val="22"/>
                <w:highlight w:val="yellow"/>
              </w:rPr>
              <w:t>Contraloría Interna del municipio de Coyuca de Benítez, Guerrero, inició el procedimiento para determinar posibles responsabilidades</w:t>
            </w:r>
            <w:r w:rsidRPr="00DF6662">
              <w:rPr>
                <w:sz w:val="22"/>
                <w:szCs w:val="22"/>
              </w:rPr>
              <w:t xml:space="preserve"> administrativas de servidores públicos y, para tales efectos, integró el expediente núm. 14-14105/FAISM/2014, por lo que se da como promovida esta acción; sin embargo, está pendiente la aclaración del monto observado.</w:t>
            </w:r>
          </w:p>
          <w:p w:rsidR="00DF6662" w:rsidRDefault="00DF6662" w:rsidP="00DF6662">
            <w:pPr>
              <w:pStyle w:val="Default"/>
              <w:rPr>
                <w:sz w:val="22"/>
                <w:szCs w:val="22"/>
              </w:rPr>
            </w:pPr>
          </w:p>
          <w:p w:rsidR="00DF6662" w:rsidRDefault="00DF6662" w:rsidP="00DF6662">
            <w:pPr>
              <w:autoSpaceDE w:val="0"/>
              <w:autoSpaceDN w:val="0"/>
              <w:adjustRightInd w:val="0"/>
              <w:spacing w:after="0" w:line="240" w:lineRule="auto"/>
              <w:jc w:val="center"/>
              <w:rPr>
                <w:rFonts w:eastAsiaTheme="minorHAnsi"/>
                <w:b/>
                <w:bCs/>
                <w:color w:val="000000"/>
                <w:lang w:val="es-MX"/>
              </w:rPr>
            </w:pPr>
            <w:r w:rsidRPr="00DF6662">
              <w:rPr>
                <w:rFonts w:eastAsiaTheme="minorHAnsi"/>
                <w:b/>
                <w:bCs/>
                <w:color w:val="000000"/>
                <w:lang w:val="es-MX"/>
              </w:rPr>
              <w:t>Pliego de Observaciones</w:t>
            </w:r>
          </w:p>
          <w:p w:rsidR="00DF6662" w:rsidRDefault="00DF6662" w:rsidP="00DF6662">
            <w:pPr>
              <w:autoSpaceDE w:val="0"/>
              <w:autoSpaceDN w:val="0"/>
              <w:adjustRightInd w:val="0"/>
              <w:spacing w:after="0" w:line="240" w:lineRule="auto"/>
              <w:jc w:val="center"/>
              <w:rPr>
                <w:rFonts w:eastAsiaTheme="minorHAnsi"/>
                <w:b/>
                <w:bCs/>
                <w:color w:val="000000"/>
                <w:lang w:val="es-MX"/>
              </w:rPr>
            </w:pPr>
            <w:r w:rsidRPr="00DF6662">
              <w:rPr>
                <w:rFonts w:eastAsiaTheme="minorHAnsi"/>
                <w:color w:val="000000"/>
                <w:lang w:val="es-MX"/>
              </w:rPr>
              <w:t>14-D-12021-14-1220-06-002</w:t>
            </w:r>
          </w:p>
          <w:p w:rsidR="00DF6662" w:rsidRPr="00DF6662" w:rsidRDefault="00DF6662" w:rsidP="00DF6662">
            <w:pPr>
              <w:autoSpaceDE w:val="0"/>
              <w:autoSpaceDN w:val="0"/>
              <w:adjustRightInd w:val="0"/>
              <w:spacing w:after="0" w:line="240" w:lineRule="auto"/>
              <w:rPr>
                <w:rFonts w:eastAsiaTheme="minorHAnsi"/>
                <w:color w:val="000000"/>
                <w:lang w:val="es-MX"/>
              </w:rPr>
            </w:pPr>
            <w:r w:rsidRPr="00DF6662">
              <w:rPr>
                <w:rFonts w:eastAsiaTheme="minorHAnsi"/>
                <w:b/>
                <w:bCs/>
                <w:color w:val="000000"/>
                <w:lang w:val="es-MX"/>
              </w:rPr>
              <w:t xml:space="preserve"> </w:t>
            </w:r>
          </w:p>
          <w:p w:rsidR="00DF6662" w:rsidRDefault="00DF6662" w:rsidP="00DF6662">
            <w:pPr>
              <w:pStyle w:val="Default"/>
              <w:rPr>
                <w:sz w:val="22"/>
                <w:szCs w:val="22"/>
              </w:rPr>
            </w:pPr>
            <w:r w:rsidRPr="00DF6662">
              <w:rPr>
                <w:sz w:val="22"/>
                <w:szCs w:val="22"/>
                <w:highlight w:val="yellow"/>
              </w:rPr>
              <w:t>Se presume un probable daño o perjuicio o ambos a la Hacienda Pública Federal por un monto de 1,566,769.22 pesos (un millón quinientos sesenta y seis mil setecientos sesenta y nueve pesos 22/100 M.N.) más los intereses generados desde su disposición hasta su reintegro a la cuenta del fondo, por ejercer Recursos del Fondo de Aportaciones para la Infraestructura Social Municipal y de las Demarcaciones Territoriales del Distrito Federal (FISMDF 2014) en tres obras que bajo el concepto de proyecto especial y no se encuentran señalados en el catálogo del fondo ni corresponden a los rubros previstos en la Ley de Coordinación Fiscal; en su caso, deberán ser acreditados ante este órgano de fiscalización con la evidencia documental de su destino y aplicación a los objetivos del fondo, de acuerdo con la Ley de Coordinación Fiscal.</w:t>
            </w:r>
          </w:p>
          <w:p w:rsidR="00DF6662" w:rsidRDefault="00DF6662" w:rsidP="00DF6662">
            <w:pPr>
              <w:pStyle w:val="Default"/>
              <w:rPr>
                <w:sz w:val="22"/>
                <w:szCs w:val="22"/>
              </w:rPr>
            </w:pPr>
          </w:p>
          <w:p w:rsidR="005E2B57" w:rsidRDefault="005E2B57" w:rsidP="00DF6662">
            <w:pPr>
              <w:pStyle w:val="Default"/>
              <w:rPr>
                <w:sz w:val="22"/>
                <w:szCs w:val="22"/>
              </w:rPr>
            </w:pPr>
          </w:p>
          <w:p w:rsidR="005E2B57" w:rsidRDefault="005E2B57" w:rsidP="005E2B57">
            <w:pPr>
              <w:autoSpaceDE w:val="0"/>
              <w:autoSpaceDN w:val="0"/>
              <w:adjustRightInd w:val="0"/>
              <w:spacing w:after="0" w:line="240" w:lineRule="auto"/>
              <w:jc w:val="center"/>
              <w:rPr>
                <w:rFonts w:eastAsiaTheme="minorHAnsi"/>
                <w:b/>
                <w:bCs/>
                <w:color w:val="000000"/>
                <w:lang w:val="es-MX"/>
              </w:rPr>
            </w:pPr>
            <w:r w:rsidRPr="005E2B57">
              <w:rPr>
                <w:rFonts w:eastAsiaTheme="minorHAnsi"/>
                <w:b/>
                <w:bCs/>
                <w:color w:val="000000"/>
                <w:lang w:val="es-MX"/>
              </w:rPr>
              <w:t>Pliego de Observaciones</w:t>
            </w:r>
          </w:p>
          <w:p w:rsidR="005E2B57" w:rsidRDefault="005E2B57" w:rsidP="005E2B57">
            <w:pPr>
              <w:autoSpaceDE w:val="0"/>
              <w:autoSpaceDN w:val="0"/>
              <w:adjustRightInd w:val="0"/>
              <w:spacing w:after="0" w:line="240" w:lineRule="auto"/>
              <w:jc w:val="center"/>
              <w:rPr>
                <w:rFonts w:eastAsiaTheme="minorHAnsi"/>
                <w:color w:val="000000"/>
                <w:lang w:val="es-MX"/>
              </w:rPr>
            </w:pPr>
            <w:r w:rsidRPr="005E2B57">
              <w:rPr>
                <w:rFonts w:eastAsiaTheme="minorHAnsi"/>
                <w:color w:val="000000"/>
                <w:lang w:val="es-MX"/>
              </w:rPr>
              <w:t>14-D-12021-14-1220-06-003</w:t>
            </w:r>
          </w:p>
          <w:p w:rsidR="005E2B57" w:rsidRPr="005E2B57" w:rsidRDefault="005E2B57" w:rsidP="005E2B57">
            <w:pPr>
              <w:autoSpaceDE w:val="0"/>
              <w:autoSpaceDN w:val="0"/>
              <w:adjustRightInd w:val="0"/>
              <w:spacing w:after="0" w:line="240" w:lineRule="auto"/>
              <w:rPr>
                <w:rFonts w:eastAsiaTheme="minorHAnsi"/>
                <w:color w:val="000000"/>
                <w:lang w:val="es-MX"/>
              </w:rPr>
            </w:pPr>
          </w:p>
          <w:p w:rsidR="005E2B57" w:rsidRDefault="005E2B57" w:rsidP="005E2B57">
            <w:pPr>
              <w:pStyle w:val="Default"/>
              <w:rPr>
                <w:sz w:val="22"/>
                <w:szCs w:val="22"/>
              </w:rPr>
            </w:pPr>
            <w:r w:rsidRPr="005E2B57">
              <w:rPr>
                <w:sz w:val="22"/>
                <w:szCs w:val="22"/>
                <w:highlight w:val="yellow"/>
              </w:rPr>
              <w:t>Se presume un probable daño o perjuicio o ambos a la Hacienda Pública Federal por un monto de 2,603,328.03 pesos (dos millones seiscientos tres mil trescientos veintiocho pesos 03/100 M.N.), más los intereses generados desde su disposición hasta su reintegro a la cuenta del fondo, por ejercer Recursos del Fondo de Aportaciones para la Infraestructura Social Municipal y de las Demarcaciones Territoriales del Distrito Federal 2014</w:t>
            </w:r>
            <w:r w:rsidRPr="005E2B57">
              <w:rPr>
                <w:sz w:val="22"/>
                <w:szCs w:val="22"/>
              </w:rPr>
              <w:t xml:space="preserve"> en conceptos que no se </w:t>
            </w:r>
            <w:r w:rsidRPr="005E2B57">
              <w:rPr>
                <w:sz w:val="22"/>
                <w:szCs w:val="22"/>
              </w:rPr>
              <w:lastRenderedPageBreak/>
              <w:t>encuentran permitidos para gastos indirectos; en su caso, deberán ser acreditados ante este órgano de fiscalización con la evidencia documental de su destino y aplicación a los objetivos de la Ley de Coordinación Fiscal</w:t>
            </w:r>
          </w:p>
          <w:p w:rsidR="00DF6662" w:rsidRPr="00C81F70" w:rsidRDefault="00DF6662" w:rsidP="00DF6662">
            <w:pPr>
              <w:pStyle w:val="Default"/>
              <w:rPr>
                <w:sz w:val="22"/>
                <w:szCs w:val="22"/>
              </w:rPr>
            </w:pPr>
          </w:p>
        </w:tc>
      </w:tr>
      <w:tr w:rsidR="008B5912" w:rsidRPr="00207A33" w:rsidTr="007A2577">
        <w:trPr>
          <w:trHeight w:val="861"/>
        </w:trPr>
        <w:tc>
          <w:tcPr>
            <w:tcW w:w="143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B5912" w:rsidRDefault="008B5912" w:rsidP="008B5912">
            <w:pPr>
              <w:autoSpaceDE w:val="0"/>
              <w:autoSpaceDN w:val="0"/>
              <w:adjustRightInd w:val="0"/>
              <w:spacing w:after="0" w:line="240" w:lineRule="auto"/>
              <w:jc w:val="center"/>
              <w:rPr>
                <w:rFonts w:eastAsiaTheme="minorHAnsi"/>
                <w:b/>
                <w:bCs/>
                <w:color w:val="000000"/>
                <w:lang w:val="es-MX"/>
              </w:rPr>
            </w:pPr>
            <w:r w:rsidRPr="008B5912">
              <w:rPr>
                <w:rFonts w:eastAsiaTheme="minorHAnsi"/>
                <w:b/>
                <w:bCs/>
                <w:color w:val="000000"/>
                <w:lang w:val="es-MX"/>
              </w:rPr>
              <w:lastRenderedPageBreak/>
              <w:t>Transparencia del Ejercicio de los Recursos</w:t>
            </w:r>
          </w:p>
          <w:p w:rsidR="008B5912" w:rsidRPr="008B5912" w:rsidRDefault="008B5912" w:rsidP="008B5912">
            <w:pPr>
              <w:autoSpaceDE w:val="0"/>
              <w:autoSpaceDN w:val="0"/>
              <w:adjustRightInd w:val="0"/>
              <w:spacing w:after="0" w:line="240" w:lineRule="auto"/>
              <w:jc w:val="center"/>
              <w:rPr>
                <w:rFonts w:eastAsiaTheme="minorHAnsi"/>
                <w:color w:val="000000"/>
                <w:lang w:val="es-MX"/>
              </w:rPr>
            </w:pPr>
          </w:p>
          <w:p w:rsidR="008B5912" w:rsidRDefault="008B5912" w:rsidP="008B5912">
            <w:pPr>
              <w:spacing w:after="0" w:line="240" w:lineRule="auto"/>
              <w:rPr>
                <w:rFonts w:eastAsiaTheme="minorHAnsi"/>
                <w:color w:val="000000"/>
                <w:lang w:val="es-MX"/>
              </w:rPr>
            </w:pPr>
            <w:r w:rsidRPr="008B5912">
              <w:rPr>
                <w:rFonts w:eastAsiaTheme="minorHAnsi"/>
                <w:b/>
                <w:bCs/>
                <w:color w:val="000000"/>
                <w:lang w:val="es-MX"/>
              </w:rPr>
              <w:t xml:space="preserve">14. </w:t>
            </w:r>
            <w:r w:rsidRPr="008B5912">
              <w:rPr>
                <w:rFonts w:eastAsiaTheme="minorHAnsi"/>
                <w:color w:val="000000"/>
                <w:lang w:val="es-MX"/>
              </w:rPr>
              <w:t>El municipio no remitió a la Secretaría de Hacienda y Crédito Público (SHCP) la información del cuarto trimestre relacionada con el ejercicio, destino y los resultados obtenidos de los recursos del fondo, ni de forma pormenorizada, el avance físico y la aplicación de los principales indicadores sobre los resultados, avances e impacto social de los programas y proyectos.</w:t>
            </w:r>
          </w:p>
          <w:p w:rsidR="008B5912" w:rsidRPr="00C81F70" w:rsidRDefault="008B5912" w:rsidP="008B5912">
            <w:pPr>
              <w:spacing w:after="0" w:line="240" w:lineRule="auto"/>
              <w:rPr>
                <w:rFonts w:eastAsia="Times New Roman" w:cs="Arial"/>
                <w:b/>
                <w:color w:val="333333"/>
                <w:lang w:val="es-MX" w:eastAsia="es-MX"/>
              </w:rPr>
            </w:pPr>
            <w:r>
              <w:rPr>
                <w:b/>
                <w:bCs/>
              </w:rPr>
              <w:t xml:space="preserve">15. </w:t>
            </w:r>
            <w:r>
              <w:t>El municipio no implementó las medidas necesarias en materia de transparencia y rendición de cuentas hacia su población, ya que no informó el monto de los recursos recibidos del FISMDF 2014, las obras y acciones por realizar, el costo de cada una de ellas, así como su ubicación, los beneficiarios y las metas a alcanzar, al inicio del ejercicio, ni al termino sobre los resultados alcanzados</w:t>
            </w:r>
          </w:p>
        </w:tc>
      </w:tr>
      <w:tr w:rsidR="005E2B57" w:rsidRPr="00207A33" w:rsidTr="007A2577">
        <w:trPr>
          <w:trHeight w:val="861"/>
        </w:trPr>
        <w:tc>
          <w:tcPr>
            <w:tcW w:w="143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E2B57" w:rsidRDefault="005E2B57" w:rsidP="008B5912">
            <w:pPr>
              <w:autoSpaceDE w:val="0"/>
              <w:autoSpaceDN w:val="0"/>
              <w:adjustRightInd w:val="0"/>
              <w:spacing w:after="0" w:line="240" w:lineRule="auto"/>
              <w:jc w:val="center"/>
              <w:rPr>
                <w:b/>
                <w:bCs/>
              </w:rPr>
            </w:pPr>
            <w:r>
              <w:rPr>
                <w:b/>
                <w:bCs/>
              </w:rPr>
              <w:t>Obras y Acciones Sociales</w:t>
            </w:r>
          </w:p>
          <w:p w:rsidR="005E2B57" w:rsidRPr="005E2B57" w:rsidRDefault="005E2B57" w:rsidP="005E2B57">
            <w:pPr>
              <w:autoSpaceDE w:val="0"/>
              <w:autoSpaceDN w:val="0"/>
              <w:adjustRightInd w:val="0"/>
              <w:spacing w:after="0" w:line="240" w:lineRule="auto"/>
              <w:rPr>
                <w:rFonts w:eastAsiaTheme="minorHAnsi"/>
                <w:color w:val="000000"/>
                <w:lang w:val="es-MX"/>
              </w:rPr>
            </w:pPr>
            <w:r w:rsidRPr="005E2B57">
              <w:rPr>
                <w:rFonts w:eastAsiaTheme="minorHAnsi"/>
                <w:b/>
                <w:bCs/>
                <w:color w:val="000000"/>
                <w:lang w:val="es-MX"/>
              </w:rPr>
              <w:t xml:space="preserve">16. </w:t>
            </w:r>
            <w:r w:rsidRPr="005E2B57">
              <w:rPr>
                <w:rFonts w:eastAsiaTheme="minorHAnsi"/>
                <w:color w:val="000000"/>
                <w:lang w:val="es-MX"/>
              </w:rPr>
              <w:t xml:space="preserve">Las 50 obras públicas de la muestra de auditoría, pagadas con recursos del FISMDF 2014, se encuentran amparadas en contratos debidamente formalizados por las instancias participantes. </w:t>
            </w:r>
          </w:p>
          <w:p w:rsidR="005E2B57" w:rsidRDefault="005E2B57" w:rsidP="005E2B57">
            <w:pPr>
              <w:autoSpaceDE w:val="0"/>
              <w:autoSpaceDN w:val="0"/>
              <w:adjustRightInd w:val="0"/>
              <w:spacing w:after="0" w:line="240" w:lineRule="auto"/>
              <w:rPr>
                <w:rFonts w:eastAsiaTheme="minorHAnsi"/>
                <w:color w:val="000000"/>
                <w:lang w:val="es-MX"/>
              </w:rPr>
            </w:pPr>
            <w:r w:rsidRPr="005E2B57">
              <w:rPr>
                <w:rFonts w:eastAsiaTheme="minorHAnsi"/>
                <w:b/>
                <w:bCs/>
                <w:color w:val="000000"/>
                <w:lang w:val="es-MX"/>
              </w:rPr>
              <w:t xml:space="preserve">17. </w:t>
            </w:r>
            <w:r w:rsidRPr="005E2B57">
              <w:rPr>
                <w:rFonts w:eastAsiaTheme="minorHAnsi"/>
                <w:color w:val="000000"/>
                <w:lang w:val="es-MX"/>
              </w:rPr>
              <w:t>En la revisión de 4 de las 50 obras públicas contratadas de la muestra de auditoría, pagadas con recursos del FISMDF 2014, se observó que éstas no disponen de las bitácoras correspondientes.</w:t>
            </w:r>
          </w:p>
          <w:p w:rsidR="005E2B57" w:rsidRDefault="005E2B57" w:rsidP="005E2B57">
            <w:pPr>
              <w:autoSpaceDE w:val="0"/>
              <w:autoSpaceDN w:val="0"/>
              <w:adjustRightInd w:val="0"/>
              <w:spacing w:after="0" w:line="240" w:lineRule="auto"/>
            </w:pPr>
            <w:r w:rsidRPr="005E2B57">
              <w:rPr>
                <w:b/>
                <w:bCs/>
                <w:highlight w:val="yellow"/>
              </w:rPr>
              <w:t xml:space="preserve">18. </w:t>
            </w:r>
            <w:r w:rsidRPr="005E2B57">
              <w:rPr>
                <w:highlight w:val="yellow"/>
              </w:rPr>
              <w:t>El municipio adjudicó de forma directa las 50 obras de la muestra de auditoría, sin presentar la justificación y el soporte que ampare la excepción a la licitación pública.</w:t>
            </w:r>
          </w:p>
          <w:p w:rsidR="005E2B57" w:rsidRPr="008B5912" w:rsidRDefault="005E2B57" w:rsidP="005E2B57">
            <w:pPr>
              <w:autoSpaceDE w:val="0"/>
              <w:autoSpaceDN w:val="0"/>
              <w:adjustRightInd w:val="0"/>
              <w:spacing w:after="0" w:line="240" w:lineRule="auto"/>
              <w:rPr>
                <w:rFonts w:eastAsiaTheme="minorHAnsi"/>
                <w:b/>
                <w:bCs/>
                <w:color w:val="000000"/>
                <w:lang w:val="es-MX"/>
              </w:rPr>
            </w:pPr>
            <w:r>
              <w:rPr>
                <w:b/>
                <w:bCs/>
              </w:rPr>
              <w:t xml:space="preserve">20. </w:t>
            </w:r>
            <w:r>
              <w:t>El municipio no solicitó a los contratistas las fianzas que garanticen los anticipos otorgados, el cumplimiento de las condiciones pactadas en el contrato, ni los vicios ocultos al término de las obras contratadas.</w:t>
            </w:r>
          </w:p>
        </w:tc>
      </w:tr>
    </w:tbl>
    <w:p w:rsidR="007B474C" w:rsidRPr="00207A33" w:rsidRDefault="007B474C" w:rsidP="00B45F75">
      <w:pPr>
        <w:spacing w:after="160" w:line="259" w:lineRule="auto"/>
        <w:rPr>
          <w:rFonts w:asciiTheme="minorHAnsi" w:hAnsiTheme="minorHAnsi"/>
          <w:b/>
        </w:rPr>
      </w:pPr>
    </w:p>
    <w:sectPr w:rsidR="007B474C" w:rsidRPr="00207A33" w:rsidSect="00207A33">
      <w:headerReference w:type="default" r:id="rId6"/>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FBF" w:rsidRDefault="00FD7FBF" w:rsidP="00CB5E98">
      <w:pPr>
        <w:spacing w:after="0" w:line="240" w:lineRule="auto"/>
      </w:pPr>
      <w:r>
        <w:separator/>
      </w:r>
    </w:p>
  </w:endnote>
  <w:endnote w:type="continuationSeparator" w:id="0">
    <w:p w:rsidR="00FD7FBF" w:rsidRDefault="00FD7FBF" w:rsidP="00CB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FBF" w:rsidRDefault="00FD7FBF" w:rsidP="00CB5E98">
      <w:pPr>
        <w:spacing w:after="0" w:line="240" w:lineRule="auto"/>
      </w:pPr>
      <w:r>
        <w:separator/>
      </w:r>
    </w:p>
  </w:footnote>
  <w:footnote w:type="continuationSeparator" w:id="0">
    <w:p w:rsidR="00FD7FBF" w:rsidRDefault="00FD7FBF" w:rsidP="00CB5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98" w:rsidRDefault="00555270" w:rsidP="0021525E">
    <w:pPr>
      <w:pStyle w:val="Encabezado"/>
      <w:jc w:val="center"/>
    </w:pPr>
    <w:r>
      <w:rPr>
        <w:noProof/>
        <w:lang w:eastAsia="es-MX"/>
      </w:rPr>
      <w:drawing>
        <wp:inline distT="0" distB="0" distL="0" distR="0" wp14:anchorId="4C54FB12" wp14:editId="774B49A7">
          <wp:extent cx="5612130" cy="93916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939165"/>
                  </a:xfrm>
                  <a:prstGeom prst="rect">
                    <a:avLst/>
                  </a:prstGeom>
                </pic:spPr>
              </pic:pic>
            </a:graphicData>
          </a:graphic>
        </wp:inline>
      </w:drawing>
    </w:r>
  </w:p>
  <w:p w:rsidR="00555270" w:rsidRPr="00CB5E98" w:rsidRDefault="00555270" w:rsidP="00CB5E9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98"/>
    <w:rsid w:val="00002048"/>
    <w:rsid w:val="00074B45"/>
    <w:rsid w:val="00095A35"/>
    <w:rsid w:val="000B64E8"/>
    <w:rsid w:val="0012721E"/>
    <w:rsid w:val="00155055"/>
    <w:rsid w:val="001F3921"/>
    <w:rsid w:val="002053CC"/>
    <w:rsid w:val="00207A33"/>
    <w:rsid w:val="0021525E"/>
    <w:rsid w:val="002E60A3"/>
    <w:rsid w:val="002F2844"/>
    <w:rsid w:val="002F2E50"/>
    <w:rsid w:val="003B54A6"/>
    <w:rsid w:val="003E3AFC"/>
    <w:rsid w:val="00436407"/>
    <w:rsid w:val="0044386B"/>
    <w:rsid w:val="004D3159"/>
    <w:rsid w:val="004E6EED"/>
    <w:rsid w:val="005268E1"/>
    <w:rsid w:val="00555270"/>
    <w:rsid w:val="005716C6"/>
    <w:rsid w:val="005E2B57"/>
    <w:rsid w:val="005F24E1"/>
    <w:rsid w:val="006350E2"/>
    <w:rsid w:val="006959B4"/>
    <w:rsid w:val="006E4895"/>
    <w:rsid w:val="00721038"/>
    <w:rsid w:val="00744F90"/>
    <w:rsid w:val="00753AF6"/>
    <w:rsid w:val="00787BF7"/>
    <w:rsid w:val="00797021"/>
    <w:rsid w:val="007B474C"/>
    <w:rsid w:val="007D0085"/>
    <w:rsid w:val="00847D92"/>
    <w:rsid w:val="008B5912"/>
    <w:rsid w:val="008E5038"/>
    <w:rsid w:val="00923E53"/>
    <w:rsid w:val="00972186"/>
    <w:rsid w:val="009D0D6A"/>
    <w:rsid w:val="00A142E0"/>
    <w:rsid w:val="00B41642"/>
    <w:rsid w:val="00B45F75"/>
    <w:rsid w:val="00BA5419"/>
    <w:rsid w:val="00BB608E"/>
    <w:rsid w:val="00C7526F"/>
    <w:rsid w:val="00C81F70"/>
    <w:rsid w:val="00CB5E98"/>
    <w:rsid w:val="00CF4BED"/>
    <w:rsid w:val="00D20442"/>
    <w:rsid w:val="00D5243F"/>
    <w:rsid w:val="00D64495"/>
    <w:rsid w:val="00DF6662"/>
    <w:rsid w:val="00E1523D"/>
    <w:rsid w:val="00E157A5"/>
    <w:rsid w:val="00E159C8"/>
    <w:rsid w:val="00E67BA0"/>
    <w:rsid w:val="00F13330"/>
    <w:rsid w:val="00FB6FD3"/>
    <w:rsid w:val="00FD7F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DC4DDD-135B-4E24-943D-0CCF72D2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21"/>
    <w:pPr>
      <w:spacing w:after="200" w:line="276" w:lineRule="auto"/>
    </w:pPr>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B5E98"/>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EncabezadoCar">
    <w:name w:val="Encabezado Car"/>
    <w:basedOn w:val="Fuentedeprrafopredeter"/>
    <w:link w:val="Encabezado"/>
    <w:rsid w:val="00CB5E98"/>
  </w:style>
  <w:style w:type="paragraph" w:styleId="Piedepgina">
    <w:name w:val="footer"/>
    <w:basedOn w:val="Normal"/>
    <w:link w:val="PiedepginaCar"/>
    <w:uiPriority w:val="99"/>
    <w:unhideWhenUsed/>
    <w:rsid w:val="00CB5E98"/>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PiedepginaCar">
    <w:name w:val="Pie de página Car"/>
    <w:basedOn w:val="Fuentedeprrafopredeter"/>
    <w:link w:val="Piedepgina"/>
    <w:uiPriority w:val="99"/>
    <w:rsid w:val="00CB5E98"/>
  </w:style>
  <w:style w:type="paragraph" w:styleId="Sinespaciado">
    <w:name w:val="No Spacing"/>
    <w:uiPriority w:val="1"/>
    <w:qFormat/>
    <w:rsid w:val="00744F90"/>
    <w:pPr>
      <w:spacing w:after="0" w:line="240" w:lineRule="auto"/>
    </w:pPr>
    <w:rPr>
      <w:rFonts w:ascii="Calibri" w:eastAsia="Calibri" w:hAnsi="Calibri" w:cs="Calibri"/>
      <w:lang w:val="es-ES"/>
    </w:rPr>
  </w:style>
  <w:style w:type="table" w:styleId="Tablaconcuadrcula">
    <w:name w:val="Table Grid"/>
    <w:basedOn w:val="Tablanormal"/>
    <w:uiPriority w:val="39"/>
    <w:rsid w:val="00744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2E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35255">
      <w:bodyDiv w:val="1"/>
      <w:marLeft w:val="0"/>
      <w:marRight w:val="0"/>
      <w:marTop w:val="0"/>
      <w:marBottom w:val="0"/>
      <w:divBdr>
        <w:top w:val="none" w:sz="0" w:space="0" w:color="auto"/>
        <w:left w:val="none" w:sz="0" w:space="0" w:color="auto"/>
        <w:bottom w:val="none" w:sz="0" w:space="0" w:color="auto"/>
        <w:right w:val="none" w:sz="0" w:space="0" w:color="auto"/>
      </w:divBdr>
    </w:div>
    <w:div w:id="1376196545">
      <w:bodyDiv w:val="1"/>
      <w:marLeft w:val="0"/>
      <w:marRight w:val="0"/>
      <w:marTop w:val="0"/>
      <w:marBottom w:val="0"/>
      <w:divBdr>
        <w:top w:val="none" w:sz="0" w:space="0" w:color="auto"/>
        <w:left w:val="none" w:sz="0" w:space="0" w:color="auto"/>
        <w:bottom w:val="none" w:sz="0" w:space="0" w:color="auto"/>
        <w:right w:val="none" w:sz="0" w:space="0" w:color="auto"/>
      </w:divBdr>
    </w:div>
    <w:div w:id="18113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1414</Words>
  <Characters>7778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dc:creator>
  <cp:keywords/>
  <dc:description/>
  <cp:lastModifiedBy>Ivonne</cp:lastModifiedBy>
  <cp:revision>11</cp:revision>
  <dcterms:created xsi:type="dcterms:W3CDTF">2017-06-30T16:30:00Z</dcterms:created>
  <dcterms:modified xsi:type="dcterms:W3CDTF">2017-06-30T18:44:00Z</dcterms:modified>
</cp:coreProperties>
</file>