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90" w:rsidRPr="00207A33" w:rsidRDefault="00207A33" w:rsidP="00207A33">
      <w:pPr>
        <w:pStyle w:val="Sinespaciado"/>
        <w:jc w:val="center"/>
        <w:rPr>
          <w:rFonts w:asciiTheme="minorHAnsi" w:hAnsiTheme="minorHAnsi"/>
          <w:b/>
        </w:rPr>
      </w:pPr>
      <w:r w:rsidRPr="00207A33">
        <w:rPr>
          <w:rFonts w:asciiTheme="minorHAnsi" w:hAnsiTheme="minorHAnsi"/>
          <w:b/>
        </w:rPr>
        <w:t xml:space="preserve">HISTÓRICO DE </w:t>
      </w:r>
      <w:r w:rsidR="00744F90" w:rsidRPr="00207A33">
        <w:rPr>
          <w:rFonts w:asciiTheme="minorHAnsi" w:hAnsiTheme="minorHAnsi"/>
          <w:b/>
        </w:rPr>
        <w:t xml:space="preserve">OBSERVACIONES </w:t>
      </w:r>
      <w:r w:rsidRPr="00207A33">
        <w:rPr>
          <w:rFonts w:asciiTheme="minorHAnsi" w:hAnsiTheme="minorHAnsi"/>
          <w:b/>
        </w:rPr>
        <w:t>DE LA ASAMBLEA SUPERIOR DE LA FEDFERACIÓN</w:t>
      </w:r>
    </w:p>
    <w:p w:rsidR="00207A33" w:rsidRDefault="00207A33" w:rsidP="00207A33">
      <w:pPr>
        <w:pStyle w:val="Sinespaciado"/>
        <w:jc w:val="center"/>
        <w:rPr>
          <w:rFonts w:asciiTheme="minorHAnsi" w:hAnsiTheme="minorHAnsi"/>
          <w:b/>
        </w:rPr>
      </w:pPr>
      <w:r>
        <w:rPr>
          <w:rFonts w:asciiTheme="minorHAnsi" w:hAnsiTheme="minorHAnsi"/>
          <w:b/>
        </w:rPr>
        <w:t xml:space="preserve">MUNICIPIO: </w:t>
      </w:r>
      <w:r w:rsidR="00F8338B">
        <w:rPr>
          <w:rFonts w:asciiTheme="minorHAnsi" w:hAnsiTheme="minorHAnsi"/>
          <w:b/>
        </w:rPr>
        <w:t>CIUDAD JUÁREZ</w:t>
      </w:r>
      <w:r w:rsidR="00E6699A">
        <w:rPr>
          <w:rFonts w:asciiTheme="minorHAnsi" w:hAnsiTheme="minorHAnsi"/>
          <w:b/>
        </w:rPr>
        <w:t>, CHIHUAHUA</w:t>
      </w:r>
    </w:p>
    <w:p w:rsidR="00207A33" w:rsidRPr="00207A33" w:rsidRDefault="00207A33" w:rsidP="00207A33">
      <w:pPr>
        <w:pStyle w:val="Sinespaciado"/>
        <w:jc w:val="center"/>
        <w:rPr>
          <w:rFonts w:asciiTheme="minorHAnsi" w:hAnsiTheme="minorHAnsi"/>
          <w:b/>
        </w:rPr>
      </w:pPr>
    </w:p>
    <w:p w:rsidR="00207A33" w:rsidRPr="00207A33" w:rsidRDefault="00207A33" w:rsidP="00207A33">
      <w:pPr>
        <w:pStyle w:val="Sinespaciado"/>
        <w:jc w:val="center"/>
        <w:rPr>
          <w:rFonts w:asciiTheme="minorHAnsi" w:hAnsiTheme="minorHAnsi"/>
          <w:b/>
        </w:rPr>
      </w:pPr>
    </w:p>
    <w:p w:rsidR="00744F90" w:rsidRPr="00207A33" w:rsidRDefault="00744F90" w:rsidP="00744F90">
      <w:pPr>
        <w:pStyle w:val="Sinespaciado"/>
        <w:jc w:val="center"/>
        <w:rPr>
          <w:rFonts w:asciiTheme="minorHAnsi" w:hAnsiTheme="minorHAnsi"/>
          <w:b/>
        </w:rPr>
      </w:pPr>
    </w:p>
    <w:p w:rsidR="00744F90" w:rsidRDefault="00744F90" w:rsidP="00744F90">
      <w:pPr>
        <w:pStyle w:val="Sinespaciado"/>
        <w:jc w:val="right"/>
        <w:rPr>
          <w:rFonts w:asciiTheme="minorHAnsi" w:hAnsiTheme="minorHAnsi"/>
          <w:b/>
        </w:rPr>
      </w:pPr>
      <w:r w:rsidRPr="00207A33">
        <w:rPr>
          <w:rFonts w:asciiTheme="minorHAnsi" w:hAnsiTheme="minorHAnsi"/>
          <w:b/>
        </w:rPr>
        <w:t xml:space="preserve">Dirección </w:t>
      </w:r>
      <w:r w:rsidR="00207A33">
        <w:rPr>
          <w:rFonts w:asciiTheme="minorHAnsi" w:hAnsiTheme="minorHAnsi"/>
          <w:b/>
        </w:rPr>
        <w:t>de</w:t>
      </w:r>
      <w:r w:rsidRPr="00207A33">
        <w:rPr>
          <w:rFonts w:asciiTheme="minorHAnsi" w:hAnsiTheme="minorHAnsi"/>
          <w:b/>
        </w:rPr>
        <w:t xml:space="preserve"> Investigación Aplicada</w:t>
      </w:r>
      <w:r w:rsidR="00207A33">
        <w:rPr>
          <w:rFonts w:asciiTheme="minorHAnsi" w:hAnsiTheme="minorHAnsi"/>
          <w:b/>
        </w:rPr>
        <w:t xml:space="preserve"> </w:t>
      </w:r>
    </w:p>
    <w:p w:rsidR="00207A33" w:rsidRPr="00207A33" w:rsidRDefault="00207A33" w:rsidP="00744F90">
      <w:pPr>
        <w:pStyle w:val="Sinespaciado"/>
        <w:jc w:val="right"/>
        <w:rPr>
          <w:rFonts w:asciiTheme="minorHAnsi" w:hAnsiTheme="minorHAnsi"/>
          <w:b/>
        </w:rPr>
      </w:pPr>
      <w:bookmarkStart w:id="0" w:name="_GoBack"/>
      <w:bookmarkEnd w:id="0"/>
      <w:proofErr w:type="gramStart"/>
      <w:r>
        <w:rPr>
          <w:rFonts w:asciiTheme="minorHAnsi" w:hAnsiTheme="minorHAnsi"/>
          <w:b/>
        </w:rPr>
        <w:t>y</w:t>
      </w:r>
      <w:proofErr w:type="gramEnd"/>
      <w:r>
        <w:rPr>
          <w:rFonts w:asciiTheme="minorHAnsi" w:hAnsiTheme="minorHAnsi"/>
          <w:b/>
        </w:rPr>
        <w:t xml:space="preserve"> Gestión de Conocimiento</w:t>
      </w:r>
    </w:p>
    <w:p w:rsidR="00744F90" w:rsidRPr="00207A33" w:rsidRDefault="00847D92" w:rsidP="00744F90">
      <w:pPr>
        <w:pStyle w:val="Sinespaciado"/>
        <w:jc w:val="right"/>
        <w:rPr>
          <w:rFonts w:asciiTheme="minorHAnsi" w:hAnsiTheme="minorHAnsi"/>
          <w:b/>
        </w:rPr>
      </w:pPr>
      <w:r>
        <w:rPr>
          <w:rFonts w:asciiTheme="minorHAnsi" w:hAnsiTheme="minorHAnsi"/>
          <w:b/>
        </w:rPr>
        <w:t>Junio,</w:t>
      </w:r>
      <w:r w:rsidR="0012721E">
        <w:rPr>
          <w:rFonts w:asciiTheme="minorHAnsi" w:hAnsiTheme="minorHAnsi"/>
          <w:b/>
        </w:rPr>
        <w:t xml:space="preserve"> 2017</w:t>
      </w:r>
    </w:p>
    <w:p w:rsidR="00744F90" w:rsidRPr="00207A33" w:rsidRDefault="00207A33" w:rsidP="00207A33">
      <w:pPr>
        <w:pStyle w:val="Sinespaciado"/>
        <w:rPr>
          <w:rFonts w:asciiTheme="minorHAnsi" w:hAnsiTheme="minorHAnsi"/>
          <w:b/>
        </w:rPr>
      </w:pPr>
      <w:r>
        <w:rPr>
          <w:rFonts w:asciiTheme="minorHAnsi" w:hAnsiTheme="minorHAnsi"/>
          <w:b/>
        </w:rPr>
        <w:t>HISTÓRICO DE AUDITORÍAS</w:t>
      </w:r>
    </w:p>
    <w:p w:rsidR="00744F90" w:rsidRPr="00207A33" w:rsidRDefault="00744F90" w:rsidP="00744F90">
      <w:pPr>
        <w:pStyle w:val="Sinespaciado"/>
        <w:rPr>
          <w:rFonts w:asciiTheme="minorHAnsi" w:hAnsiTheme="minorHAnsi"/>
          <w:b/>
        </w:rPr>
      </w:pPr>
    </w:p>
    <w:tbl>
      <w:tblPr>
        <w:tblW w:w="14336" w:type="dxa"/>
        <w:tblCellMar>
          <w:left w:w="70" w:type="dxa"/>
          <w:right w:w="70" w:type="dxa"/>
        </w:tblCellMar>
        <w:tblLook w:val="04A0" w:firstRow="1" w:lastRow="0" w:firstColumn="1" w:lastColumn="0" w:noHBand="0" w:noVBand="1"/>
      </w:tblPr>
      <w:tblGrid>
        <w:gridCol w:w="939"/>
        <w:gridCol w:w="1143"/>
        <w:gridCol w:w="1606"/>
        <w:gridCol w:w="993"/>
        <w:gridCol w:w="8724"/>
        <w:gridCol w:w="931"/>
      </w:tblGrid>
      <w:tr w:rsidR="002E586E" w:rsidRPr="002E586E" w:rsidTr="00C9115D">
        <w:trPr>
          <w:trHeight w:val="510"/>
        </w:trPr>
        <w:tc>
          <w:tcPr>
            <w:tcW w:w="942" w:type="dxa"/>
            <w:tcBorders>
              <w:top w:val="single" w:sz="4" w:space="0" w:color="auto"/>
              <w:left w:val="single" w:sz="4" w:space="0" w:color="auto"/>
              <w:bottom w:val="single" w:sz="4" w:space="0" w:color="auto"/>
              <w:right w:val="single" w:sz="4" w:space="0" w:color="auto"/>
            </w:tcBorders>
            <w:shd w:val="clear" w:color="000000" w:fill="F5F5F5"/>
            <w:vAlign w:val="center"/>
          </w:tcPr>
          <w:p w:rsidR="00207A33" w:rsidRPr="002E586E" w:rsidRDefault="0012721E" w:rsidP="00207A33">
            <w:pPr>
              <w:spacing w:after="0" w:line="240" w:lineRule="auto"/>
              <w:jc w:val="center"/>
              <w:rPr>
                <w:rFonts w:asciiTheme="minorHAnsi" w:eastAsia="Times New Roman" w:hAnsiTheme="minorHAnsi" w:cs="Arial"/>
                <w:bCs/>
                <w:color w:val="333333"/>
                <w:lang w:val="es-MX" w:eastAsia="es-MX"/>
              </w:rPr>
            </w:pPr>
            <w:r w:rsidRPr="002E586E">
              <w:rPr>
                <w:rFonts w:asciiTheme="minorHAnsi" w:eastAsia="Times New Roman" w:hAnsiTheme="minorHAnsi" w:cs="Arial"/>
                <w:bCs/>
                <w:color w:val="333333"/>
                <w:lang w:val="es-MX" w:eastAsia="es-MX"/>
              </w:rPr>
              <w:t xml:space="preserve">No. </w:t>
            </w:r>
          </w:p>
        </w:tc>
        <w:tc>
          <w:tcPr>
            <w:tcW w:w="1146" w:type="dxa"/>
            <w:tcBorders>
              <w:top w:val="single" w:sz="4" w:space="0" w:color="auto"/>
              <w:left w:val="nil"/>
              <w:bottom w:val="single" w:sz="4" w:space="0" w:color="auto"/>
              <w:right w:val="single" w:sz="4" w:space="0" w:color="auto"/>
            </w:tcBorders>
            <w:shd w:val="clear" w:color="000000" w:fill="F5F5F5"/>
            <w:vAlign w:val="center"/>
          </w:tcPr>
          <w:p w:rsidR="00207A33" w:rsidRPr="002E586E" w:rsidRDefault="0012721E" w:rsidP="00207A33">
            <w:pPr>
              <w:spacing w:after="0" w:line="240" w:lineRule="auto"/>
              <w:jc w:val="center"/>
              <w:rPr>
                <w:rFonts w:asciiTheme="minorHAnsi" w:eastAsia="Times New Roman" w:hAnsiTheme="minorHAnsi" w:cs="Arial"/>
                <w:bCs/>
                <w:color w:val="333333"/>
                <w:lang w:val="es-MX" w:eastAsia="es-MX"/>
              </w:rPr>
            </w:pPr>
            <w:r w:rsidRPr="002E586E">
              <w:rPr>
                <w:rFonts w:asciiTheme="minorHAnsi" w:eastAsia="Times New Roman" w:hAnsiTheme="minorHAnsi" w:cs="Arial"/>
                <w:bCs/>
                <w:color w:val="333333"/>
                <w:lang w:val="es-MX" w:eastAsia="es-MX"/>
              </w:rPr>
              <w:t>Año Cuenta Pública</w:t>
            </w:r>
          </w:p>
        </w:tc>
        <w:tc>
          <w:tcPr>
            <w:tcW w:w="1607" w:type="dxa"/>
            <w:tcBorders>
              <w:top w:val="single" w:sz="4" w:space="0" w:color="auto"/>
              <w:left w:val="nil"/>
              <w:bottom w:val="single" w:sz="4" w:space="0" w:color="auto"/>
              <w:right w:val="single" w:sz="4" w:space="0" w:color="auto"/>
            </w:tcBorders>
            <w:shd w:val="clear" w:color="000000" w:fill="F5F5F5"/>
            <w:vAlign w:val="center"/>
          </w:tcPr>
          <w:p w:rsidR="00207A33" w:rsidRPr="002E586E" w:rsidRDefault="0012721E" w:rsidP="00207A33">
            <w:pPr>
              <w:spacing w:after="0" w:line="240" w:lineRule="auto"/>
              <w:jc w:val="center"/>
              <w:rPr>
                <w:rFonts w:asciiTheme="minorHAnsi" w:eastAsia="Times New Roman" w:hAnsiTheme="minorHAnsi" w:cs="Arial"/>
                <w:bCs/>
                <w:color w:val="333333"/>
                <w:lang w:val="es-MX" w:eastAsia="es-MX"/>
              </w:rPr>
            </w:pPr>
            <w:r w:rsidRPr="002E586E">
              <w:rPr>
                <w:rFonts w:asciiTheme="minorHAnsi" w:eastAsia="Times New Roman" w:hAnsiTheme="minorHAnsi" w:cs="Arial"/>
                <w:bCs/>
                <w:color w:val="333333"/>
                <w:lang w:val="es-MX" w:eastAsia="es-MX"/>
              </w:rPr>
              <w:t>Tipo de Auditoría</w:t>
            </w:r>
          </w:p>
        </w:tc>
        <w:tc>
          <w:tcPr>
            <w:tcW w:w="994" w:type="dxa"/>
            <w:tcBorders>
              <w:top w:val="single" w:sz="4" w:space="0" w:color="auto"/>
              <w:left w:val="nil"/>
              <w:bottom w:val="single" w:sz="4" w:space="0" w:color="auto"/>
              <w:right w:val="single" w:sz="4" w:space="0" w:color="auto"/>
            </w:tcBorders>
            <w:shd w:val="clear" w:color="000000" w:fill="F5F5F5"/>
            <w:vAlign w:val="center"/>
          </w:tcPr>
          <w:p w:rsidR="00207A33" w:rsidRPr="002E586E" w:rsidRDefault="0012721E" w:rsidP="00207A33">
            <w:pPr>
              <w:spacing w:after="0" w:line="240" w:lineRule="auto"/>
              <w:jc w:val="center"/>
              <w:rPr>
                <w:rFonts w:asciiTheme="minorHAnsi" w:eastAsia="Times New Roman" w:hAnsiTheme="minorHAnsi" w:cs="Arial"/>
                <w:bCs/>
                <w:color w:val="333333"/>
                <w:lang w:val="es-MX" w:eastAsia="es-MX"/>
              </w:rPr>
            </w:pPr>
            <w:r w:rsidRPr="002E586E">
              <w:rPr>
                <w:rFonts w:asciiTheme="minorHAnsi" w:eastAsia="Times New Roman" w:hAnsiTheme="minorHAnsi" w:cs="Arial"/>
                <w:bCs/>
                <w:color w:val="333333"/>
                <w:lang w:val="es-MX" w:eastAsia="es-MX"/>
              </w:rPr>
              <w:t>Número</w:t>
            </w:r>
          </w:p>
        </w:tc>
        <w:tc>
          <w:tcPr>
            <w:tcW w:w="8773" w:type="dxa"/>
            <w:tcBorders>
              <w:top w:val="single" w:sz="4" w:space="0" w:color="auto"/>
              <w:left w:val="nil"/>
              <w:bottom w:val="single" w:sz="4" w:space="0" w:color="auto"/>
              <w:right w:val="single" w:sz="4" w:space="0" w:color="auto"/>
            </w:tcBorders>
            <w:shd w:val="clear" w:color="000000" w:fill="F5F5F5"/>
            <w:vAlign w:val="center"/>
          </w:tcPr>
          <w:p w:rsidR="00207A33" w:rsidRPr="002E586E" w:rsidRDefault="0012721E" w:rsidP="00207A33">
            <w:pPr>
              <w:spacing w:after="0" w:line="240" w:lineRule="auto"/>
              <w:jc w:val="center"/>
              <w:rPr>
                <w:rFonts w:asciiTheme="minorHAnsi" w:eastAsia="Times New Roman" w:hAnsiTheme="minorHAnsi" w:cs="Arial"/>
                <w:bCs/>
                <w:color w:val="333333"/>
                <w:lang w:val="es-MX" w:eastAsia="es-MX"/>
              </w:rPr>
            </w:pPr>
            <w:r w:rsidRPr="002E586E">
              <w:rPr>
                <w:rFonts w:asciiTheme="minorHAnsi" w:eastAsia="Times New Roman" w:hAnsiTheme="minorHAnsi" w:cs="Arial"/>
                <w:bCs/>
                <w:color w:val="333333"/>
                <w:lang w:val="es-MX" w:eastAsia="es-MX"/>
              </w:rPr>
              <w:t>Título</w:t>
            </w:r>
          </w:p>
        </w:tc>
        <w:tc>
          <w:tcPr>
            <w:tcW w:w="87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07A33" w:rsidRPr="002E586E" w:rsidRDefault="0012721E" w:rsidP="00207A33">
            <w:pPr>
              <w:spacing w:after="0" w:line="240" w:lineRule="auto"/>
              <w:jc w:val="center"/>
              <w:rPr>
                <w:rFonts w:asciiTheme="minorHAnsi" w:eastAsia="Times New Roman" w:hAnsiTheme="minorHAnsi" w:cs="Arial"/>
                <w:bCs/>
                <w:color w:val="333333"/>
                <w:lang w:val="es-MX" w:eastAsia="es-MX"/>
              </w:rPr>
            </w:pPr>
            <w:r w:rsidRPr="002E586E">
              <w:rPr>
                <w:rFonts w:asciiTheme="minorHAnsi" w:eastAsia="Times New Roman" w:hAnsiTheme="minorHAnsi" w:cs="Arial"/>
                <w:bCs/>
                <w:color w:val="333333"/>
                <w:lang w:val="es-MX" w:eastAsia="es-MX"/>
              </w:rPr>
              <w:t>Acciones</w:t>
            </w:r>
          </w:p>
        </w:tc>
      </w:tr>
      <w:tr w:rsidR="002E586E" w:rsidRPr="002E586E" w:rsidTr="00C9115D">
        <w:trPr>
          <w:trHeight w:val="510"/>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E159C8" w:rsidRPr="002E586E" w:rsidRDefault="00CA0588" w:rsidP="00E159C8">
            <w:pPr>
              <w:spacing w:after="0" w:line="240" w:lineRule="auto"/>
              <w:jc w:val="center"/>
              <w:rPr>
                <w:rFonts w:asciiTheme="minorHAnsi" w:eastAsia="Times New Roman" w:hAnsiTheme="minorHAnsi" w:cs="Arial"/>
                <w:lang w:val="es-MX" w:eastAsia="es-MX"/>
              </w:rPr>
            </w:pPr>
            <w:r w:rsidRPr="002E586E">
              <w:rPr>
                <w:rFonts w:asciiTheme="minorHAnsi" w:eastAsia="Times New Roman" w:hAnsiTheme="minorHAnsi" w:cs="Arial"/>
                <w:lang w:val="es-MX" w:eastAsia="es-MX"/>
              </w:rPr>
              <w:t>1</w:t>
            </w:r>
          </w:p>
        </w:tc>
        <w:tc>
          <w:tcPr>
            <w:tcW w:w="1146" w:type="dxa"/>
            <w:tcBorders>
              <w:top w:val="single" w:sz="4" w:space="0" w:color="auto"/>
              <w:left w:val="nil"/>
              <w:bottom w:val="single" w:sz="4" w:space="0" w:color="auto"/>
              <w:right w:val="single" w:sz="4" w:space="0" w:color="auto"/>
            </w:tcBorders>
            <w:shd w:val="clear" w:color="auto" w:fill="auto"/>
            <w:vAlign w:val="center"/>
          </w:tcPr>
          <w:p w:rsidR="00E159C8" w:rsidRPr="002E586E" w:rsidRDefault="002E586E" w:rsidP="00E159C8">
            <w:pPr>
              <w:spacing w:after="0" w:line="240" w:lineRule="auto"/>
              <w:jc w:val="center"/>
              <w:rPr>
                <w:rFonts w:asciiTheme="minorHAnsi" w:eastAsia="Times New Roman" w:hAnsiTheme="minorHAnsi" w:cs="Arial"/>
                <w:bCs/>
                <w:color w:val="333333"/>
                <w:lang w:val="es-MX" w:eastAsia="es-MX"/>
              </w:rPr>
            </w:pPr>
            <w:r w:rsidRPr="002E586E">
              <w:rPr>
                <w:rFonts w:asciiTheme="minorHAnsi" w:eastAsia="Times New Roman" w:hAnsiTheme="minorHAnsi" w:cs="Arial"/>
                <w:bCs/>
                <w:color w:val="333333"/>
                <w:lang w:val="es-MX" w:eastAsia="es-MX"/>
              </w:rPr>
              <w:t>2015</w:t>
            </w:r>
          </w:p>
        </w:tc>
        <w:tc>
          <w:tcPr>
            <w:tcW w:w="1607" w:type="dxa"/>
            <w:tcBorders>
              <w:top w:val="single" w:sz="4" w:space="0" w:color="auto"/>
              <w:left w:val="nil"/>
              <w:bottom w:val="single" w:sz="4" w:space="0" w:color="auto"/>
              <w:right w:val="single" w:sz="4" w:space="0" w:color="auto"/>
            </w:tcBorders>
            <w:shd w:val="clear" w:color="auto" w:fill="auto"/>
            <w:vAlign w:val="center"/>
          </w:tcPr>
          <w:p w:rsidR="00E159C8" w:rsidRPr="002E586E" w:rsidRDefault="002E586E" w:rsidP="00E159C8">
            <w:pPr>
              <w:spacing w:after="0" w:line="240" w:lineRule="auto"/>
              <w:jc w:val="center"/>
              <w:rPr>
                <w:rFonts w:asciiTheme="minorHAnsi" w:eastAsia="Times New Roman" w:hAnsiTheme="minorHAnsi" w:cs="Arial"/>
                <w:color w:val="333333"/>
                <w:lang w:val="es-MX" w:eastAsia="es-MX"/>
              </w:rPr>
            </w:pPr>
            <w:r w:rsidRPr="002E586E">
              <w:rPr>
                <w:rFonts w:asciiTheme="minorHAnsi" w:eastAsia="Times New Roman" w:hAnsiTheme="minorHAnsi" w:cs="Arial"/>
                <w:color w:val="333333"/>
                <w:lang w:val="es-MX" w:eastAsia="es-MX"/>
              </w:rPr>
              <w:t>Financiera con enfoque en desempeño</w:t>
            </w:r>
          </w:p>
        </w:tc>
        <w:tc>
          <w:tcPr>
            <w:tcW w:w="994" w:type="dxa"/>
            <w:tcBorders>
              <w:top w:val="single" w:sz="4" w:space="0" w:color="auto"/>
              <w:left w:val="nil"/>
              <w:bottom w:val="single" w:sz="4" w:space="0" w:color="auto"/>
              <w:right w:val="single" w:sz="4" w:space="0" w:color="auto"/>
            </w:tcBorders>
            <w:shd w:val="clear" w:color="auto" w:fill="auto"/>
            <w:vAlign w:val="center"/>
          </w:tcPr>
          <w:p w:rsidR="00E159C8" w:rsidRPr="008E3567" w:rsidRDefault="002E586E" w:rsidP="00E159C8">
            <w:pPr>
              <w:spacing w:after="0" w:line="240" w:lineRule="auto"/>
              <w:jc w:val="center"/>
              <w:rPr>
                <w:rFonts w:asciiTheme="minorHAnsi" w:eastAsia="Times New Roman" w:hAnsiTheme="minorHAnsi" w:cs="Arial"/>
                <w:bCs/>
                <w:color w:val="333333"/>
                <w:sz w:val="30"/>
                <w:szCs w:val="30"/>
                <w:lang w:val="es-MX" w:eastAsia="es-MX"/>
              </w:rPr>
            </w:pPr>
            <w:r w:rsidRPr="008E3567">
              <w:rPr>
                <w:rFonts w:asciiTheme="minorHAnsi" w:eastAsia="Times New Roman" w:hAnsiTheme="minorHAnsi" w:cs="Arial"/>
                <w:bCs/>
                <w:color w:val="333333"/>
                <w:sz w:val="30"/>
                <w:szCs w:val="30"/>
                <w:lang w:val="es-MX" w:eastAsia="es-MX"/>
              </w:rPr>
              <w:t>730</w:t>
            </w:r>
          </w:p>
        </w:tc>
        <w:tc>
          <w:tcPr>
            <w:tcW w:w="8773" w:type="dxa"/>
            <w:tcBorders>
              <w:top w:val="single" w:sz="4" w:space="0" w:color="auto"/>
              <w:left w:val="nil"/>
              <w:bottom w:val="single" w:sz="4" w:space="0" w:color="auto"/>
              <w:right w:val="single" w:sz="4" w:space="0" w:color="auto"/>
            </w:tcBorders>
            <w:shd w:val="clear" w:color="auto" w:fill="auto"/>
            <w:vAlign w:val="center"/>
          </w:tcPr>
          <w:p w:rsidR="002E586E" w:rsidRPr="002E586E" w:rsidRDefault="002E586E" w:rsidP="002E586E">
            <w:pPr>
              <w:autoSpaceDE w:val="0"/>
              <w:autoSpaceDN w:val="0"/>
              <w:adjustRightInd w:val="0"/>
              <w:spacing w:after="0" w:line="240" w:lineRule="auto"/>
              <w:rPr>
                <w:rFonts w:asciiTheme="minorHAnsi" w:eastAsiaTheme="minorHAnsi" w:hAnsiTheme="minorHAnsi"/>
                <w:color w:val="000000"/>
                <w:lang w:val="es-MX"/>
              </w:rPr>
            </w:pPr>
          </w:p>
          <w:p w:rsidR="00E159C8" w:rsidRPr="002E586E" w:rsidRDefault="002E586E" w:rsidP="002E586E">
            <w:pPr>
              <w:spacing w:after="0" w:line="240" w:lineRule="auto"/>
              <w:rPr>
                <w:rFonts w:asciiTheme="minorHAnsi" w:eastAsia="Times New Roman" w:hAnsiTheme="minorHAnsi" w:cs="Arial"/>
                <w:bCs/>
                <w:color w:val="333333"/>
                <w:lang w:val="es-MX" w:eastAsia="es-MX"/>
              </w:rPr>
            </w:pPr>
            <w:r w:rsidRPr="002E586E">
              <w:rPr>
                <w:rFonts w:asciiTheme="minorHAnsi" w:eastAsiaTheme="minorHAnsi" w:hAnsiTheme="minorHAnsi"/>
                <w:color w:val="000000"/>
                <w:lang w:val="es-MX"/>
              </w:rPr>
              <w:t xml:space="preserve"> </w:t>
            </w:r>
            <w:r w:rsidRPr="002E586E">
              <w:rPr>
                <w:rFonts w:asciiTheme="minorHAnsi" w:eastAsiaTheme="minorHAnsi" w:hAnsiTheme="minorHAnsi"/>
                <w:bCs/>
                <w:color w:val="000000"/>
                <w:lang w:val="es-MX"/>
              </w:rPr>
              <w:t>Recursos del Fondo de Aportaciones para la Infraestructura Social Municipal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E159C8" w:rsidRPr="002E586E" w:rsidRDefault="00E159C8" w:rsidP="00E159C8">
            <w:pPr>
              <w:spacing w:after="0" w:line="240" w:lineRule="auto"/>
              <w:jc w:val="center"/>
              <w:rPr>
                <w:rFonts w:asciiTheme="minorHAnsi" w:eastAsia="Times New Roman" w:hAnsiTheme="minorHAnsi" w:cs="Arial"/>
                <w:bCs/>
                <w:color w:val="333333"/>
                <w:lang w:val="es-MX" w:eastAsia="es-MX"/>
              </w:rPr>
            </w:pPr>
          </w:p>
        </w:tc>
      </w:tr>
      <w:tr w:rsidR="002E586E" w:rsidRPr="002E586E" w:rsidTr="00C9115D">
        <w:trPr>
          <w:trHeight w:val="861"/>
        </w:trPr>
        <w:tc>
          <w:tcPr>
            <w:tcW w:w="942" w:type="dxa"/>
            <w:tcBorders>
              <w:top w:val="nil"/>
              <w:left w:val="single" w:sz="4" w:space="0" w:color="auto"/>
              <w:bottom w:val="single" w:sz="4" w:space="0" w:color="auto"/>
              <w:right w:val="single" w:sz="4" w:space="0" w:color="auto"/>
            </w:tcBorders>
            <w:shd w:val="clear" w:color="auto" w:fill="auto"/>
            <w:vAlign w:val="center"/>
          </w:tcPr>
          <w:p w:rsidR="00E159C8" w:rsidRPr="002E586E" w:rsidRDefault="00CA0588" w:rsidP="00E159C8">
            <w:pPr>
              <w:spacing w:after="0" w:line="240" w:lineRule="auto"/>
              <w:jc w:val="center"/>
              <w:rPr>
                <w:rFonts w:asciiTheme="minorHAnsi" w:eastAsia="Times New Roman" w:hAnsiTheme="minorHAnsi" w:cs="Arial"/>
                <w:lang w:val="es-MX" w:eastAsia="es-MX"/>
              </w:rPr>
            </w:pPr>
            <w:r w:rsidRPr="002E586E">
              <w:rPr>
                <w:rFonts w:asciiTheme="minorHAnsi" w:eastAsia="Times New Roman" w:hAnsiTheme="minorHAnsi" w:cs="Arial"/>
                <w:lang w:val="es-MX" w:eastAsia="es-MX"/>
              </w:rPr>
              <w:t>2</w:t>
            </w:r>
          </w:p>
        </w:tc>
        <w:tc>
          <w:tcPr>
            <w:tcW w:w="1146" w:type="dxa"/>
            <w:tcBorders>
              <w:top w:val="nil"/>
              <w:left w:val="nil"/>
              <w:bottom w:val="single" w:sz="4" w:space="0" w:color="auto"/>
              <w:right w:val="single" w:sz="4" w:space="0" w:color="auto"/>
            </w:tcBorders>
            <w:shd w:val="clear" w:color="000000" w:fill="FFFFFF"/>
            <w:vAlign w:val="center"/>
          </w:tcPr>
          <w:p w:rsidR="00E159C8" w:rsidRPr="002E586E" w:rsidRDefault="002E586E" w:rsidP="00E159C8">
            <w:pPr>
              <w:spacing w:after="0" w:line="240" w:lineRule="auto"/>
              <w:jc w:val="center"/>
              <w:rPr>
                <w:rFonts w:asciiTheme="minorHAnsi" w:eastAsia="Times New Roman" w:hAnsiTheme="minorHAnsi" w:cs="Arial"/>
                <w:color w:val="333333"/>
                <w:lang w:val="es-MX" w:eastAsia="es-MX"/>
              </w:rPr>
            </w:pPr>
            <w:r w:rsidRPr="002E586E">
              <w:rPr>
                <w:rFonts w:asciiTheme="minorHAnsi" w:eastAsia="Times New Roman" w:hAnsiTheme="minorHAnsi" w:cs="Arial"/>
                <w:color w:val="333333"/>
                <w:lang w:val="es-MX" w:eastAsia="es-MX"/>
              </w:rPr>
              <w:t>2014</w:t>
            </w:r>
          </w:p>
        </w:tc>
        <w:tc>
          <w:tcPr>
            <w:tcW w:w="1607" w:type="dxa"/>
            <w:tcBorders>
              <w:top w:val="nil"/>
              <w:left w:val="nil"/>
              <w:bottom w:val="single" w:sz="4" w:space="0" w:color="auto"/>
              <w:right w:val="single" w:sz="4" w:space="0" w:color="auto"/>
            </w:tcBorders>
            <w:shd w:val="clear" w:color="000000" w:fill="FFFFFF"/>
            <w:vAlign w:val="center"/>
          </w:tcPr>
          <w:p w:rsidR="00E159C8" w:rsidRPr="002E586E" w:rsidRDefault="002E586E" w:rsidP="00E159C8">
            <w:pPr>
              <w:spacing w:after="0" w:line="240" w:lineRule="auto"/>
              <w:jc w:val="center"/>
              <w:rPr>
                <w:rFonts w:asciiTheme="minorHAnsi" w:eastAsia="Times New Roman" w:hAnsiTheme="minorHAnsi" w:cs="Arial"/>
                <w:color w:val="333333"/>
                <w:lang w:val="es-MX" w:eastAsia="es-MX"/>
              </w:rPr>
            </w:pPr>
            <w:r w:rsidRPr="002E586E">
              <w:rPr>
                <w:rFonts w:asciiTheme="minorHAnsi" w:eastAsiaTheme="minorHAnsi" w:hAnsiTheme="minorHAnsi" w:cs="Arial"/>
                <w:bCs/>
                <w:lang w:val="es-MX"/>
              </w:rPr>
              <w:t>Financieras y de Cumplimiento</w:t>
            </w:r>
          </w:p>
        </w:tc>
        <w:tc>
          <w:tcPr>
            <w:tcW w:w="994" w:type="dxa"/>
            <w:tcBorders>
              <w:top w:val="nil"/>
              <w:left w:val="nil"/>
              <w:bottom w:val="single" w:sz="4" w:space="0" w:color="auto"/>
              <w:right w:val="single" w:sz="4" w:space="0" w:color="auto"/>
            </w:tcBorders>
            <w:shd w:val="clear" w:color="000000" w:fill="FFFFFF"/>
            <w:vAlign w:val="center"/>
          </w:tcPr>
          <w:p w:rsidR="00E159C8" w:rsidRPr="008E3567" w:rsidRDefault="002E586E" w:rsidP="00E159C8">
            <w:pPr>
              <w:spacing w:after="0" w:line="240" w:lineRule="auto"/>
              <w:jc w:val="center"/>
              <w:rPr>
                <w:rFonts w:asciiTheme="minorHAnsi" w:eastAsia="Times New Roman" w:hAnsiTheme="minorHAnsi" w:cs="Arial"/>
                <w:color w:val="333333"/>
                <w:sz w:val="30"/>
                <w:szCs w:val="30"/>
                <w:lang w:val="es-MX" w:eastAsia="es-MX"/>
              </w:rPr>
            </w:pPr>
            <w:r w:rsidRPr="008E3567">
              <w:rPr>
                <w:rFonts w:asciiTheme="minorHAnsi" w:eastAsia="Times New Roman" w:hAnsiTheme="minorHAnsi" w:cs="Arial"/>
                <w:color w:val="333333"/>
                <w:sz w:val="30"/>
                <w:szCs w:val="30"/>
                <w:lang w:val="es-MX" w:eastAsia="es-MX"/>
              </w:rPr>
              <w:t>1287</w:t>
            </w:r>
          </w:p>
        </w:tc>
        <w:tc>
          <w:tcPr>
            <w:tcW w:w="8773" w:type="dxa"/>
            <w:tcBorders>
              <w:top w:val="nil"/>
              <w:left w:val="nil"/>
              <w:bottom w:val="single" w:sz="4" w:space="0" w:color="auto"/>
              <w:right w:val="single" w:sz="4" w:space="0" w:color="auto"/>
            </w:tcBorders>
            <w:shd w:val="clear" w:color="000000" w:fill="FFFFFF"/>
            <w:vAlign w:val="center"/>
          </w:tcPr>
          <w:p w:rsidR="002E586E" w:rsidRPr="002E586E" w:rsidRDefault="002E586E" w:rsidP="002E586E">
            <w:pPr>
              <w:autoSpaceDE w:val="0"/>
              <w:autoSpaceDN w:val="0"/>
              <w:adjustRightInd w:val="0"/>
              <w:spacing w:after="0" w:line="240" w:lineRule="auto"/>
              <w:rPr>
                <w:rFonts w:asciiTheme="minorHAnsi" w:eastAsiaTheme="minorHAnsi" w:hAnsiTheme="minorHAnsi"/>
                <w:color w:val="000000"/>
                <w:lang w:val="es-MX"/>
              </w:rPr>
            </w:pPr>
          </w:p>
          <w:p w:rsidR="00E159C8" w:rsidRPr="002E586E" w:rsidRDefault="002E586E" w:rsidP="002E586E">
            <w:pPr>
              <w:spacing w:after="0" w:line="240" w:lineRule="auto"/>
              <w:rPr>
                <w:rFonts w:asciiTheme="minorHAnsi" w:eastAsia="Times New Roman" w:hAnsiTheme="minorHAnsi" w:cs="Arial"/>
                <w:color w:val="333333"/>
                <w:lang w:val="es-MX" w:eastAsia="es-MX"/>
              </w:rPr>
            </w:pPr>
            <w:r w:rsidRPr="002E586E">
              <w:rPr>
                <w:rFonts w:asciiTheme="minorHAnsi" w:eastAsiaTheme="minorHAnsi" w:hAnsiTheme="minorHAnsi"/>
                <w:color w:val="000000"/>
                <w:lang w:val="es-MX"/>
              </w:rPr>
              <w:t xml:space="preserve"> </w:t>
            </w:r>
            <w:r w:rsidRPr="002E586E">
              <w:rPr>
                <w:rFonts w:asciiTheme="minorHAnsi" w:eastAsiaTheme="minorHAnsi" w:hAnsiTheme="minorHAnsi"/>
                <w:bCs/>
                <w:color w:val="000000"/>
                <w:lang w:val="es-MX"/>
              </w:rPr>
              <w:t>Recursos del Fondo de Aportaciones para la Infraestructura Social Municipal y de las Demarcaciones Territoriales del Distrito Federal</w:t>
            </w:r>
          </w:p>
        </w:tc>
        <w:tc>
          <w:tcPr>
            <w:tcW w:w="874" w:type="dxa"/>
            <w:tcBorders>
              <w:top w:val="nil"/>
              <w:left w:val="nil"/>
              <w:bottom w:val="single" w:sz="4" w:space="0" w:color="auto"/>
              <w:right w:val="single" w:sz="4" w:space="0" w:color="auto"/>
            </w:tcBorders>
            <w:shd w:val="clear" w:color="000000" w:fill="FFFFFF"/>
            <w:vAlign w:val="center"/>
          </w:tcPr>
          <w:p w:rsidR="00E159C8" w:rsidRPr="002E586E" w:rsidRDefault="00E159C8" w:rsidP="00E159C8">
            <w:pPr>
              <w:spacing w:after="0" w:line="240" w:lineRule="auto"/>
              <w:jc w:val="center"/>
              <w:rPr>
                <w:rFonts w:asciiTheme="minorHAnsi" w:eastAsia="Times New Roman" w:hAnsiTheme="minorHAnsi" w:cs="Arial"/>
                <w:color w:val="333333"/>
                <w:lang w:val="es-MX" w:eastAsia="es-MX"/>
              </w:rPr>
            </w:pPr>
          </w:p>
        </w:tc>
      </w:tr>
      <w:tr w:rsidR="002E586E" w:rsidRPr="002E586E" w:rsidTr="00C9115D">
        <w:trPr>
          <w:trHeight w:val="861"/>
        </w:trPr>
        <w:tc>
          <w:tcPr>
            <w:tcW w:w="942" w:type="dxa"/>
            <w:tcBorders>
              <w:top w:val="nil"/>
              <w:left w:val="single" w:sz="4" w:space="0" w:color="auto"/>
              <w:bottom w:val="single" w:sz="4" w:space="0" w:color="auto"/>
              <w:right w:val="single" w:sz="4" w:space="0" w:color="auto"/>
            </w:tcBorders>
            <w:shd w:val="clear" w:color="auto" w:fill="auto"/>
            <w:vAlign w:val="center"/>
          </w:tcPr>
          <w:p w:rsidR="00CA0588" w:rsidRPr="002E586E" w:rsidRDefault="00CA0588" w:rsidP="00E159C8">
            <w:pPr>
              <w:spacing w:after="0" w:line="240" w:lineRule="auto"/>
              <w:jc w:val="center"/>
              <w:rPr>
                <w:rFonts w:asciiTheme="minorHAnsi" w:eastAsia="Times New Roman" w:hAnsiTheme="minorHAnsi" w:cs="Arial"/>
                <w:lang w:val="es-MX" w:eastAsia="es-MX"/>
              </w:rPr>
            </w:pPr>
            <w:r w:rsidRPr="002E586E">
              <w:rPr>
                <w:rFonts w:asciiTheme="minorHAnsi" w:eastAsia="Times New Roman" w:hAnsiTheme="minorHAnsi" w:cs="Arial"/>
                <w:lang w:val="es-MX" w:eastAsia="es-MX"/>
              </w:rPr>
              <w:t>3</w:t>
            </w:r>
          </w:p>
        </w:tc>
        <w:tc>
          <w:tcPr>
            <w:tcW w:w="1146" w:type="dxa"/>
            <w:tcBorders>
              <w:top w:val="nil"/>
              <w:left w:val="nil"/>
              <w:bottom w:val="single" w:sz="4" w:space="0" w:color="auto"/>
              <w:right w:val="single" w:sz="4" w:space="0" w:color="auto"/>
            </w:tcBorders>
            <w:shd w:val="clear" w:color="000000" w:fill="FFFFFF"/>
            <w:vAlign w:val="center"/>
          </w:tcPr>
          <w:p w:rsidR="00CA0588" w:rsidRPr="002E586E" w:rsidRDefault="002E586E" w:rsidP="00E159C8">
            <w:pPr>
              <w:spacing w:after="0" w:line="240" w:lineRule="auto"/>
              <w:jc w:val="center"/>
              <w:rPr>
                <w:rFonts w:asciiTheme="minorHAnsi" w:eastAsia="Times New Roman" w:hAnsiTheme="minorHAnsi" w:cs="Arial"/>
                <w:color w:val="333333"/>
                <w:lang w:val="es-MX" w:eastAsia="es-MX"/>
              </w:rPr>
            </w:pPr>
            <w:r w:rsidRPr="002E586E">
              <w:rPr>
                <w:rFonts w:asciiTheme="minorHAnsi" w:eastAsia="Times New Roman" w:hAnsiTheme="minorHAnsi" w:cs="Arial"/>
                <w:color w:val="333333"/>
                <w:lang w:val="es-MX" w:eastAsia="es-MX"/>
              </w:rPr>
              <w:t>2014</w:t>
            </w:r>
          </w:p>
        </w:tc>
        <w:tc>
          <w:tcPr>
            <w:tcW w:w="1607" w:type="dxa"/>
            <w:tcBorders>
              <w:top w:val="nil"/>
              <w:left w:val="nil"/>
              <w:bottom w:val="single" w:sz="4" w:space="0" w:color="auto"/>
              <w:right w:val="single" w:sz="4" w:space="0" w:color="auto"/>
            </w:tcBorders>
            <w:shd w:val="clear" w:color="000000" w:fill="FFFFFF"/>
            <w:vAlign w:val="center"/>
          </w:tcPr>
          <w:p w:rsidR="00CA0588" w:rsidRPr="002E586E" w:rsidRDefault="002E586E" w:rsidP="00E159C8">
            <w:pPr>
              <w:spacing w:after="0" w:line="240" w:lineRule="auto"/>
              <w:jc w:val="center"/>
              <w:rPr>
                <w:rFonts w:asciiTheme="minorHAnsi" w:eastAsia="Times New Roman" w:hAnsiTheme="minorHAnsi" w:cs="Arial"/>
                <w:color w:val="333333"/>
                <w:lang w:val="es-MX" w:eastAsia="es-MX"/>
              </w:rPr>
            </w:pPr>
            <w:r w:rsidRPr="002E586E">
              <w:rPr>
                <w:rFonts w:asciiTheme="minorHAnsi" w:eastAsia="Times New Roman" w:hAnsiTheme="minorHAnsi" w:cs="Arial"/>
                <w:color w:val="333333"/>
                <w:lang w:val="es-MX" w:eastAsia="es-MX"/>
              </w:rPr>
              <w:t>Financiera con enfoque en desempeño</w:t>
            </w:r>
          </w:p>
        </w:tc>
        <w:tc>
          <w:tcPr>
            <w:tcW w:w="994" w:type="dxa"/>
            <w:tcBorders>
              <w:top w:val="nil"/>
              <w:left w:val="nil"/>
              <w:bottom w:val="single" w:sz="4" w:space="0" w:color="auto"/>
              <w:right w:val="single" w:sz="4" w:space="0" w:color="auto"/>
            </w:tcBorders>
            <w:shd w:val="clear" w:color="000000" w:fill="FFFFFF"/>
            <w:vAlign w:val="center"/>
          </w:tcPr>
          <w:p w:rsidR="00CA0588" w:rsidRPr="008E3567" w:rsidRDefault="002E586E" w:rsidP="00E159C8">
            <w:pPr>
              <w:spacing w:after="0" w:line="240" w:lineRule="auto"/>
              <w:jc w:val="center"/>
              <w:rPr>
                <w:rFonts w:asciiTheme="minorHAnsi" w:eastAsia="Times New Roman" w:hAnsiTheme="minorHAnsi" w:cs="Arial"/>
                <w:color w:val="333333"/>
                <w:sz w:val="30"/>
                <w:szCs w:val="30"/>
                <w:lang w:val="es-MX" w:eastAsia="es-MX"/>
              </w:rPr>
            </w:pPr>
            <w:r w:rsidRPr="008E3567">
              <w:rPr>
                <w:rFonts w:asciiTheme="minorHAnsi" w:eastAsia="Times New Roman" w:hAnsiTheme="minorHAnsi" w:cs="Arial"/>
                <w:color w:val="333333"/>
                <w:sz w:val="30"/>
                <w:szCs w:val="30"/>
                <w:lang w:val="es-MX" w:eastAsia="es-MX"/>
              </w:rPr>
              <w:t>841</w:t>
            </w:r>
          </w:p>
        </w:tc>
        <w:tc>
          <w:tcPr>
            <w:tcW w:w="8773" w:type="dxa"/>
            <w:tcBorders>
              <w:top w:val="nil"/>
              <w:left w:val="nil"/>
              <w:bottom w:val="single" w:sz="4" w:space="0" w:color="auto"/>
              <w:right w:val="single" w:sz="4" w:space="0" w:color="auto"/>
            </w:tcBorders>
            <w:shd w:val="clear" w:color="000000" w:fill="FFFFFF"/>
            <w:vAlign w:val="center"/>
          </w:tcPr>
          <w:p w:rsidR="002E586E" w:rsidRPr="002E586E" w:rsidRDefault="002E586E" w:rsidP="002E586E">
            <w:pPr>
              <w:autoSpaceDE w:val="0"/>
              <w:autoSpaceDN w:val="0"/>
              <w:adjustRightInd w:val="0"/>
              <w:spacing w:after="0" w:line="240" w:lineRule="auto"/>
              <w:rPr>
                <w:rFonts w:asciiTheme="minorHAnsi" w:eastAsiaTheme="minorHAnsi" w:hAnsiTheme="minorHAnsi"/>
                <w:color w:val="000000"/>
                <w:lang w:val="es-MX"/>
              </w:rPr>
            </w:pPr>
          </w:p>
          <w:p w:rsidR="00CA0588" w:rsidRPr="002E586E" w:rsidRDefault="002E586E" w:rsidP="002E586E">
            <w:pPr>
              <w:spacing w:after="0" w:line="240" w:lineRule="auto"/>
              <w:rPr>
                <w:rFonts w:asciiTheme="minorHAnsi" w:eastAsia="Times New Roman" w:hAnsiTheme="minorHAnsi" w:cs="Arial"/>
                <w:color w:val="333333"/>
                <w:lang w:val="es-MX" w:eastAsia="es-MX"/>
              </w:rPr>
            </w:pPr>
            <w:r w:rsidRPr="002E586E">
              <w:rPr>
                <w:rFonts w:asciiTheme="minorHAnsi" w:eastAsiaTheme="minorHAnsi" w:hAnsiTheme="minorHAnsi"/>
                <w:color w:val="000000"/>
                <w:lang w:val="es-MX"/>
              </w:rPr>
              <w:t xml:space="preserve"> </w:t>
            </w:r>
            <w:r w:rsidRPr="002E586E">
              <w:rPr>
                <w:rFonts w:asciiTheme="minorHAnsi" w:eastAsiaTheme="minorHAnsi" w:hAnsiTheme="minorHAnsi"/>
                <w:bCs/>
                <w:color w:val="000000"/>
                <w:lang w:val="es-MX"/>
              </w:rPr>
              <w:t>Recursos para el Otorgamiento de Subsidios a los Municipios y, en su caso, a los Estados Cuando Tengan a su Cargo la Función o la Ejerzan Coordinadamente con los Municipios, así como al Gobierno del Distrito Federal para la Seguridad Pública en sus Demarcaciones Territoriales</w:t>
            </w:r>
          </w:p>
        </w:tc>
        <w:tc>
          <w:tcPr>
            <w:tcW w:w="874" w:type="dxa"/>
            <w:tcBorders>
              <w:top w:val="nil"/>
              <w:left w:val="nil"/>
              <w:bottom w:val="single" w:sz="4" w:space="0" w:color="auto"/>
              <w:right w:val="single" w:sz="4" w:space="0" w:color="auto"/>
            </w:tcBorders>
            <w:shd w:val="clear" w:color="000000" w:fill="FFFFFF"/>
            <w:vAlign w:val="center"/>
          </w:tcPr>
          <w:p w:rsidR="00CA0588" w:rsidRPr="002E586E" w:rsidRDefault="00CA0588" w:rsidP="00E159C8">
            <w:pPr>
              <w:spacing w:after="0" w:line="240" w:lineRule="auto"/>
              <w:jc w:val="center"/>
              <w:rPr>
                <w:rFonts w:asciiTheme="minorHAnsi" w:eastAsia="Times New Roman" w:hAnsiTheme="minorHAnsi" w:cs="Arial"/>
                <w:color w:val="333333"/>
                <w:lang w:val="es-MX" w:eastAsia="es-MX"/>
              </w:rPr>
            </w:pPr>
          </w:p>
        </w:tc>
      </w:tr>
      <w:tr w:rsidR="002E586E" w:rsidRPr="002E586E" w:rsidTr="00C9115D">
        <w:trPr>
          <w:trHeight w:val="861"/>
        </w:trPr>
        <w:tc>
          <w:tcPr>
            <w:tcW w:w="942" w:type="dxa"/>
            <w:tcBorders>
              <w:top w:val="nil"/>
              <w:left w:val="single" w:sz="4" w:space="0" w:color="auto"/>
              <w:bottom w:val="single" w:sz="4" w:space="0" w:color="auto"/>
              <w:right w:val="single" w:sz="4" w:space="0" w:color="auto"/>
            </w:tcBorders>
            <w:shd w:val="clear" w:color="auto" w:fill="auto"/>
            <w:vAlign w:val="center"/>
          </w:tcPr>
          <w:p w:rsidR="00CA0588" w:rsidRPr="002E586E" w:rsidRDefault="00CA0588" w:rsidP="00E159C8">
            <w:pPr>
              <w:spacing w:after="0" w:line="240" w:lineRule="auto"/>
              <w:jc w:val="center"/>
              <w:rPr>
                <w:rFonts w:asciiTheme="minorHAnsi" w:eastAsia="Times New Roman" w:hAnsiTheme="minorHAnsi" w:cs="Arial"/>
                <w:lang w:val="es-MX" w:eastAsia="es-MX"/>
              </w:rPr>
            </w:pPr>
            <w:r w:rsidRPr="002E586E">
              <w:rPr>
                <w:rFonts w:asciiTheme="minorHAnsi" w:eastAsia="Times New Roman" w:hAnsiTheme="minorHAnsi" w:cs="Arial"/>
                <w:lang w:val="es-MX" w:eastAsia="es-MX"/>
              </w:rPr>
              <w:t>4</w:t>
            </w:r>
          </w:p>
        </w:tc>
        <w:tc>
          <w:tcPr>
            <w:tcW w:w="1146" w:type="dxa"/>
            <w:tcBorders>
              <w:top w:val="nil"/>
              <w:left w:val="nil"/>
              <w:bottom w:val="single" w:sz="4" w:space="0" w:color="auto"/>
              <w:right w:val="single" w:sz="4" w:space="0" w:color="auto"/>
            </w:tcBorders>
            <w:shd w:val="clear" w:color="000000" w:fill="FFFFFF"/>
            <w:vAlign w:val="center"/>
          </w:tcPr>
          <w:p w:rsidR="00CA0588" w:rsidRPr="002E586E" w:rsidRDefault="002E586E" w:rsidP="00E159C8">
            <w:pPr>
              <w:spacing w:after="0" w:line="240" w:lineRule="auto"/>
              <w:jc w:val="center"/>
              <w:rPr>
                <w:rFonts w:asciiTheme="minorHAnsi" w:eastAsia="Times New Roman" w:hAnsiTheme="minorHAnsi" w:cs="Arial"/>
                <w:color w:val="333333"/>
                <w:lang w:val="es-MX" w:eastAsia="es-MX"/>
              </w:rPr>
            </w:pPr>
            <w:r w:rsidRPr="002E586E">
              <w:rPr>
                <w:rFonts w:asciiTheme="minorHAnsi" w:eastAsia="Times New Roman" w:hAnsiTheme="minorHAnsi" w:cs="Arial"/>
                <w:color w:val="333333"/>
                <w:lang w:val="es-MX" w:eastAsia="es-MX"/>
              </w:rPr>
              <w:t>2014</w:t>
            </w:r>
          </w:p>
        </w:tc>
        <w:tc>
          <w:tcPr>
            <w:tcW w:w="1607" w:type="dxa"/>
            <w:tcBorders>
              <w:top w:val="nil"/>
              <w:left w:val="nil"/>
              <w:bottom w:val="single" w:sz="4" w:space="0" w:color="auto"/>
              <w:right w:val="single" w:sz="4" w:space="0" w:color="auto"/>
            </w:tcBorders>
            <w:shd w:val="clear" w:color="000000" w:fill="FFFFFF"/>
            <w:vAlign w:val="center"/>
          </w:tcPr>
          <w:p w:rsidR="00CA0588" w:rsidRPr="002E586E" w:rsidRDefault="002E586E" w:rsidP="00E159C8">
            <w:pPr>
              <w:spacing w:after="0" w:line="240" w:lineRule="auto"/>
              <w:jc w:val="center"/>
              <w:rPr>
                <w:rFonts w:asciiTheme="minorHAnsi" w:eastAsia="Times New Roman" w:hAnsiTheme="minorHAnsi" w:cs="Arial"/>
                <w:color w:val="333333"/>
                <w:lang w:val="es-MX" w:eastAsia="es-MX"/>
              </w:rPr>
            </w:pPr>
            <w:r w:rsidRPr="002E586E">
              <w:rPr>
                <w:rFonts w:asciiTheme="minorHAnsi" w:eastAsiaTheme="minorHAnsi" w:hAnsiTheme="minorHAnsi" w:cs="Arial"/>
                <w:bCs/>
                <w:lang w:val="es-MX"/>
              </w:rPr>
              <w:t>Financieras y de Cumplimiento</w:t>
            </w:r>
          </w:p>
        </w:tc>
        <w:tc>
          <w:tcPr>
            <w:tcW w:w="994" w:type="dxa"/>
            <w:tcBorders>
              <w:top w:val="nil"/>
              <w:left w:val="nil"/>
              <w:bottom w:val="single" w:sz="4" w:space="0" w:color="auto"/>
              <w:right w:val="single" w:sz="4" w:space="0" w:color="auto"/>
            </w:tcBorders>
            <w:shd w:val="clear" w:color="000000" w:fill="FFFFFF"/>
            <w:vAlign w:val="center"/>
          </w:tcPr>
          <w:p w:rsidR="00CA0588" w:rsidRPr="008E3567" w:rsidRDefault="002E586E" w:rsidP="00E159C8">
            <w:pPr>
              <w:spacing w:after="0" w:line="240" w:lineRule="auto"/>
              <w:jc w:val="center"/>
              <w:rPr>
                <w:rFonts w:asciiTheme="minorHAnsi" w:eastAsia="Times New Roman" w:hAnsiTheme="minorHAnsi" w:cs="Arial"/>
                <w:color w:val="333333"/>
                <w:sz w:val="30"/>
                <w:szCs w:val="30"/>
                <w:lang w:val="es-MX" w:eastAsia="es-MX"/>
              </w:rPr>
            </w:pPr>
            <w:r w:rsidRPr="008E3567">
              <w:rPr>
                <w:rFonts w:asciiTheme="minorHAnsi" w:eastAsia="Times New Roman" w:hAnsiTheme="minorHAnsi" w:cs="Arial"/>
                <w:color w:val="333333"/>
                <w:sz w:val="30"/>
                <w:szCs w:val="30"/>
                <w:lang w:val="es-MX" w:eastAsia="es-MX"/>
              </w:rPr>
              <w:t>496</w:t>
            </w:r>
          </w:p>
        </w:tc>
        <w:tc>
          <w:tcPr>
            <w:tcW w:w="8773" w:type="dxa"/>
            <w:tcBorders>
              <w:top w:val="nil"/>
              <w:left w:val="nil"/>
              <w:bottom w:val="single" w:sz="4" w:space="0" w:color="auto"/>
              <w:right w:val="single" w:sz="4" w:space="0" w:color="auto"/>
            </w:tcBorders>
            <w:shd w:val="clear" w:color="000000" w:fill="FFFFFF"/>
            <w:vAlign w:val="center"/>
          </w:tcPr>
          <w:p w:rsidR="002E586E" w:rsidRPr="002E586E" w:rsidRDefault="002E586E" w:rsidP="002E586E">
            <w:pPr>
              <w:autoSpaceDE w:val="0"/>
              <w:autoSpaceDN w:val="0"/>
              <w:adjustRightInd w:val="0"/>
              <w:spacing w:after="0" w:line="240" w:lineRule="auto"/>
              <w:rPr>
                <w:rFonts w:asciiTheme="minorHAnsi" w:eastAsiaTheme="minorHAnsi" w:hAnsiTheme="minorHAnsi"/>
                <w:color w:val="000000"/>
                <w:lang w:val="es-MX"/>
              </w:rPr>
            </w:pPr>
          </w:p>
          <w:p w:rsidR="00CA0588" w:rsidRPr="002E586E" w:rsidRDefault="002E586E" w:rsidP="002E586E">
            <w:pPr>
              <w:spacing w:after="0" w:line="240" w:lineRule="auto"/>
              <w:rPr>
                <w:rFonts w:asciiTheme="minorHAnsi" w:eastAsia="Times New Roman" w:hAnsiTheme="minorHAnsi" w:cs="Arial"/>
                <w:color w:val="333333"/>
                <w:lang w:val="es-MX" w:eastAsia="es-MX"/>
              </w:rPr>
            </w:pPr>
            <w:r w:rsidRPr="002E586E">
              <w:rPr>
                <w:rFonts w:asciiTheme="minorHAnsi" w:eastAsiaTheme="minorHAnsi" w:hAnsiTheme="minorHAnsi"/>
                <w:color w:val="000000"/>
                <w:lang w:val="es-MX"/>
              </w:rPr>
              <w:t xml:space="preserve"> </w:t>
            </w:r>
            <w:r w:rsidRPr="002E586E">
              <w:rPr>
                <w:rFonts w:asciiTheme="minorHAnsi" w:eastAsiaTheme="minorHAnsi" w:hAnsiTheme="minorHAnsi"/>
                <w:bCs/>
                <w:color w:val="000000"/>
                <w:lang w:val="es-MX"/>
              </w:rPr>
              <w:t>Recursos del Fondo de Pavimentación, Espacios Deportivos, Alumbrado Público y Rehabilitación de Infraestructura Educativa para Municipios y Demarcaciones Territoriales del Distrito Federal</w:t>
            </w:r>
          </w:p>
        </w:tc>
        <w:tc>
          <w:tcPr>
            <w:tcW w:w="874" w:type="dxa"/>
            <w:tcBorders>
              <w:top w:val="nil"/>
              <w:left w:val="nil"/>
              <w:bottom w:val="single" w:sz="4" w:space="0" w:color="auto"/>
              <w:right w:val="single" w:sz="4" w:space="0" w:color="auto"/>
            </w:tcBorders>
            <w:shd w:val="clear" w:color="000000" w:fill="FFFFFF"/>
            <w:vAlign w:val="center"/>
          </w:tcPr>
          <w:p w:rsidR="00CA0588" w:rsidRPr="002E586E" w:rsidRDefault="00CA0588" w:rsidP="00E159C8">
            <w:pPr>
              <w:spacing w:after="0" w:line="240" w:lineRule="auto"/>
              <w:jc w:val="center"/>
              <w:rPr>
                <w:rFonts w:asciiTheme="minorHAnsi" w:eastAsia="Times New Roman" w:hAnsiTheme="minorHAnsi" w:cs="Arial"/>
                <w:color w:val="333333"/>
                <w:lang w:val="es-MX" w:eastAsia="es-MX"/>
              </w:rPr>
            </w:pPr>
          </w:p>
        </w:tc>
      </w:tr>
      <w:tr w:rsidR="00C9115D" w:rsidRPr="002E586E" w:rsidTr="00C9115D">
        <w:trPr>
          <w:trHeight w:val="861"/>
        </w:trPr>
        <w:tc>
          <w:tcPr>
            <w:tcW w:w="942" w:type="dxa"/>
            <w:tcBorders>
              <w:top w:val="nil"/>
              <w:left w:val="single" w:sz="4" w:space="0" w:color="auto"/>
              <w:bottom w:val="single" w:sz="4" w:space="0" w:color="auto"/>
              <w:right w:val="single" w:sz="4" w:space="0" w:color="auto"/>
            </w:tcBorders>
            <w:shd w:val="clear" w:color="auto" w:fill="auto"/>
            <w:vAlign w:val="center"/>
          </w:tcPr>
          <w:p w:rsidR="00C9115D" w:rsidRPr="002E586E" w:rsidRDefault="00C9115D" w:rsidP="00E159C8">
            <w:pPr>
              <w:spacing w:after="0" w:line="240" w:lineRule="auto"/>
              <w:jc w:val="center"/>
              <w:rPr>
                <w:rFonts w:asciiTheme="minorHAnsi" w:eastAsia="Times New Roman" w:hAnsiTheme="minorHAnsi" w:cs="Arial"/>
                <w:lang w:val="es-MX" w:eastAsia="es-MX"/>
              </w:rPr>
            </w:pPr>
            <w:r w:rsidRPr="002E586E">
              <w:rPr>
                <w:rFonts w:asciiTheme="minorHAnsi" w:eastAsia="Times New Roman" w:hAnsiTheme="minorHAnsi" w:cs="Arial"/>
                <w:lang w:val="es-MX" w:eastAsia="es-MX"/>
              </w:rPr>
              <w:t>5</w:t>
            </w:r>
          </w:p>
        </w:tc>
        <w:tc>
          <w:tcPr>
            <w:tcW w:w="1146" w:type="dxa"/>
            <w:tcBorders>
              <w:top w:val="nil"/>
              <w:left w:val="nil"/>
              <w:bottom w:val="single" w:sz="4" w:space="0" w:color="auto"/>
              <w:right w:val="single" w:sz="4" w:space="0" w:color="auto"/>
            </w:tcBorders>
            <w:shd w:val="clear" w:color="000000" w:fill="FFFFFF"/>
            <w:vAlign w:val="center"/>
          </w:tcPr>
          <w:p w:rsidR="00C9115D" w:rsidRPr="002E586E" w:rsidRDefault="002E586E" w:rsidP="00E159C8">
            <w:pPr>
              <w:spacing w:after="0" w:line="240" w:lineRule="auto"/>
              <w:jc w:val="center"/>
              <w:rPr>
                <w:rFonts w:asciiTheme="minorHAnsi" w:eastAsia="Times New Roman" w:hAnsiTheme="minorHAnsi" w:cs="Arial"/>
                <w:color w:val="333333"/>
                <w:lang w:val="es-MX" w:eastAsia="es-MX"/>
              </w:rPr>
            </w:pPr>
            <w:r w:rsidRPr="002E586E">
              <w:rPr>
                <w:rFonts w:asciiTheme="minorHAnsi" w:eastAsia="Times New Roman" w:hAnsiTheme="minorHAnsi" w:cs="Arial"/>
                <w:color w:val="333333"/>
                <w:lang w:val="es-MX" w:eastAsia="es-MX"/>
              </w:rPr>
              <w:t>2012</w:t>
            </w:r>
          </w:p>
        </w:tc>
        <w:tc>
          <w:tcPr>
            <w:tcW w:w="1607" w:type="dxa"/>
            <w:tcBorders>
              <w:top w:val="nil"/>
              <w:left w:val="nil"/>
              <w:bottom w:val="single" w:sz="4" w:space="0" w:color="auto"/>
              <w:right w:val="single" w:sz="4" w:space="0" w:color="auto"/>
            </w:tcBorders>
            <w:shd w:val="clear" w:color="000000" w:fill="FFFFFF"/>
            <w:vAlign w:val="center"/>
          </w:tcPr>
          <w:p w:rsidR="00C9115D" w:rsidRPr="002E586E" w:rsidRDefault="002E586E" w:rsidP="00E159C8">
            <w:pPr>
              <w:spacing w:after="0" w:line="240" w:lineRule="auto"/>
              <w:jc w:val="center"/>
              <w:rPr>
                <w:rFonts w:asciiTheme="minorHAnsi" w:eastAsia="Times New Roman" w:hAnsiTheme="minorHAnsi" w:cs="Arial"/>
                <w:color w:val="333333"/>
                <w:lang w:val="es-MX" w:eastAsia="es-MX"/>
              </w:rPr>
            </w:pPr>
            <w:r w:rsidRPr="002E586E">
              <w:rPr>
                <w:rFonts w:asciiTheme="minorHAnsi" w:eastAsia="Times New Roman" w:hAnsiTheme="minorHAnsi" w:cs="Arial"/>
                <w:color w:val="333333"/>
                <w:lang w:val="es-MX" w:eastAsia="es-MX"/>
              </w:rPr>
              <w:t>Financiera con enfoque en desempeño</w:t>
            </w:r>
          </w:p>
        </w:tc>
        <w:tc>
          <w:tcPr>
            <w:tcW w:w="994" w:type="dxa"/>
            <w:tcBorders>
              <w:top w:val="nil"/>
              <w:left w:val="nil"/>
              <w:bottom w:val="single" w:sz="4" w:space="0" w:color="auto"/>
              <w:right w:val="single" w:sz="4" w:space="0" w:color="auto"/>
            </w:tcBorders>
            <w:shd w:val="clear" w:color="000000" w:fill="FFFFFF"/>
            <w:vAlign w:val="center"/>
          </w:tcPr>
          <w:p w:rsidR="00C9115D" w:rsidRPr="008E3567" w:rsidRDefault="002E586E" w:rsidP="00E159C8">
            <w:pPr>
              <w:spacing w:after="0" w:line="240" w:lineRule="auto"/>
              <w:jc w:val="center"/>
              <w:rPr>
                <w:rFonts w:asciiTheme="minorHAnsi" w:eastAsia="Times New Roman" w:hAnsiTheme="minorHAnsi" w:cs="Arial"/>
                <w:color w:val="333333"/>
                <w:sz w:val="30"/>
                <w:szCs w:val="30"/>
                <w:lang w:val="es-MX" w:eastAsia="es-MX"/>
              </w:rPr>
            </w:pPr>
            <w:r w:rsidRPr="008E3567">
              <w:rPr>
                <w:rFonts w:asciiTheme="minorHAnsi" w:eastAsia="Times New Roman" w:hAnsiTheme="minorHAnsi" w:cs="Arial"/>
                <w:color w:val="333333"/>
                <w:sz w:val="30"/>
                <w:szCs w:val="30"/>
                <w:lang w:val="es-MX" w:eastAsia="es-MX"/>
              </w:rPr>
              <w:t>741</w:t>
            </w:r>
          </w:p>
        </w:tc>
        <w:tc>
          <w:tcPr>
            <w:tcW w:w="8773" w:type="dxa"/>
            <w:tcBorders>
              <w:top w:val="nil"/>
              <w:left w:val="nil"/>
              <w:bottom w:val="single" w:sz="4" w:space="0" w:color="auto"/>
              <w:right w:val="single" w:sz="4" w:space="0" w:color="auto"/>
            </w:tcBorders>
            <w:shd w:val="clear" w:color="000000" w:fill="FFFFFF"/>
            <w:vAlign w:val="center"/>
          </w:tcPr>
          <w:p w:rsidR="002E586E" w:rsidRPr="002E586E" w:rsidRDefault="002E586E" w:rsidP="002E586E">
            <w:pPr>
              <w:autoSpaceDE w:val="0"/>
              <w:autoSpaceDN w:val="0"/>
              <w:adjustRightInd w:val="0"/>
              <w:spacing w:after="0" w:line="240" w:lineRule="auto"/>
              <w:rPr>
                <w:rFonts w:asciiTheme="minorHAnsi" w:eastAsiaTheme="minorHAnsi" w:hAnsiTheme="minorHAnsi"/>
                <w:color w:val="000000"/>
                <w:lang w:val="es-MX"/>
              </w:rPr>
            </w:pPr>
          </w:p>
          <w:p w:rsidR="00C9115D" w:rsidRPr="002E586E" w:rsidRDefault="002E586E" w:rsidP="002E586E">
            <w:pPr>
              <w:spacing w:after="0" w:line="240" w:lineRule="auto"/>
              <w:rPr>
                <w:rFonts w:asciiTheme="minorHAnsi" w:eastAsia="Times New Roman" w:hAnsiTheme="minorHAnsi" w:cs="Arial"/>
                <w:color w:val="333333"/>
                <w:lang w:val="es-MX" w:eastAsia="es-MX"/>
              </w:rPr>
            </w:pPr>
            <w:r w:rsidRPr="002E586E">
              <w:rPr>
                <w:rFonts w:asciiTheme="minorHAnsi" w:eastAsiaTheme="minorHAnsi" w:hAnsiTheme="minorHAnsi"/>
                <w:color w:val="000000"/>
                <w:lang w:val="es-MX"/>
              </w:rPr>
              <w:t xml:space="preserve"> </w:t>
            </w:r>
            <w:r w:rsidRPr="002E586E">
              <w:rPr>
                <w:rFonts w:asciiTheme="minorHAnsi" w:eastAsiaTheme="minorHAnsi" w:hAnsiTheme="minorHAnsi"/>
                <w:bCs/>
                <w:color w:val="000000"/>
                <w:lang w:val="es-MX"/>
              </w:rPr>
              <w:t>Recursos del Fondo para la Infraestructura Social Municipal</w:t>
            </w:r>
          </w:p>
        </w:tc>
        <w:tc>
          <w:tcPr>
            <w:tcW w:w="874" w:type="dxa"/>
            <w:tcBorders>
              <w:top w:val="nil"/>
              <w:left w:val="nil"/>
              <w:bottom w:val="single" w:sz="4" w:space="0" w:color="auto"/>
              <w:right w:val="single" w:sz="4" w:space="0" w:color="auto"/>
            </w:tcBorders>
            <w:shd w:val="clear" w:color="000000" w:fill="FFFFFF"/>
            <w:vAlign w:val="center"/>
          </w:tcPr>
          <w:p w:rsidR="00C9115D" w:rsidRPr="002E586E" w:rsidRDefault="00C9115D" w:rsidP="00E159C8">
            <w:pPr>
              <w:spacing w:after="0" w:line="240" w:lineRule="auto"/>
              <w:jc w:val="center"/>
              <w:rPr>
                <w:rFonts w:asciiTheme="minorHAnsi" w:eastAsia="Times New Roman" w:hAnsiTheme="minorHAnsi" w:cs="Arial"/>
                <w:color w:val="333333"/>
                <w:lang w:val="es-MX" w:eastAsia="es-MX"/>
              </w:rPr>
            </w:pPr>
          </w:p>
        </w:tc>
      </w:tr>
      <w:tr w:rsidR="002E586E" w:rsidRPr="002E586E" w:rsidTr="00C9115D">
        <w:trPr>
          <w:trHeight w:val="861"/>
        </w:trPr>
        <w:tc>
          <w:tcPr>
            <w:tcW w:w="942" w:type="dxa"/>
            <w:tcBorders>
              <w:top w:val="nil"/>
              <w:left w:val="single" w:sz="4" w:space="0" w:color="auto"/>
              <w:bottom w:val="single" w:sz="4" w:space="0" w:color="auto"/>
              <w:right w:val="single" w:sz="4" w:space="0" w:color="auto"/>
            </w:tcBorders>
            <w:shd w:val="clear" w:color="auto" w:fill="auto"/>
            <w:vAlign w:val="center"/>
          </w:tcPr>
          <w:p w:rsidR="002E586E" w:rsidRPr="002E586E" w:rsidRDefault="002E586E" w:rsidP="00E159C8">
            <w:pPr>
              <w:spacing w:after="0" w:line="240" w:lineRule="auto"/>
              <w:jc w:val="center"/>
              <w:rPr>
                <w:rFonts w:asciiTheme="minorHAnsi" w:eastAsia="Times New Roman" w:hAnsiTheme="minorHAnsi" w:cs="Arial"/>
                <w:lang w:val="es-MX" w:eastAsia="es-MX"/>
              </w:rPr>
            </w:pPr>
            <w:r w:rsidRPr="002E586E">
              <w:rPr>
                <w:rFonts w:asciiTheme="minorHAnsi" w:eastAsia="Times New Roman" w:hAnsiTheme="minorHAnsi" w:cs="Arial"/>
                <w:lang w:val="es-MX" w:eastAsia="es-MX"/>
              </w:rPr>
              <w:lastRenderedPageBreak/>
              <w:t>6</w:t>
            </w:r>
          </w:p>
        </w:tc>
        <w:tc>
          <w:tcPr>
            <w:tcW w:w="1146" w:type="dxa"/>
            <w:tcBorders>
              <w:top w:val="nil"/>
              <w:left w:val="nil"/>
              <w:bottom w:val="single" w:sz="4" w:space="0" w:color="auto"/>
              <w:right w:val="single" w:sz="4" w:space="0" w:color="auto"/>
            </w:tcBorders>
            <w:shd w:val="clear" w:color="000000" w:fill="FFFFFF"/>
            <w:vAlign w:val="center"/>
          </w:tcPr>
          <w:p w:rsidR="002E586E" w:rsidRPr="002E586E" w:rsidRDefault="002E586E" w:rsidP="00E159C8">
            <w:pPr>
              <w:spacing w:after="0" w:line="240" w:lineRule="auto"/>
              <w:jc w:val="center"/>
              <w:rPr>
                <w:rFonts w:asciiTheme="minorHAnsi" w:eastAsia="Times New Roman" w:hAnsiTheme="minorHAnsi" w:cs="Arial"/>
                <w:color w:val="333333"/>
                <w:lang w:val="es-MX" w:eastAsia="es-MX"/>
              </w:rPr>
            </w:pPr>
            <w:r w:rsidRPr="002E586E">
              <w:rPr>
                <w:rFonts w:asciiTheme="minorHAnsi" w:eastAsia="Times New Roman" w:hAnsiTheme="minorHAnsi" w:cs="Arial"/>
                <w:color w:val="333333"/>
                <w:lang w:val="es-MX" w:eastAsia="es-MX"/>
              </w:rPr>
              <w:t>2007</w:t>
            </w:r>
          </w:p>
        </w:tc>
        <w:tc>
          <w:tcPr>
            <w:tcW w:w="1607" w:type="dxa"/>
            <w:tcBorders>
              <w:top w:val="nil"/>
              <w:left w:val="nil"/>
              <w:bottom w:val="single" w:sz="4" w:space="0" w:color="auto"/>
              <w:right w:val="single" w:sz="4" w:space="0" w:color="auto"/>
            </w:tcBorders>
            <w:shd w:val="clear" w:color="000000" w:fill="FFFFFF"/>
            <w:vAlign w:val="center"/>
          </w:tcPr>
          <w:p w:rsidR="002E586E" w:rsidRPr="002E586E" w:rsidRDefault="002E586E" w:rsidP="00E159C8">
            <w:pPr>
              <w:spacing w:after="0" w:line="240" w:lineRule="auto"/>
              <w:jc w:val="center"/>
              <w:rPr>
                <w:rFonts w:asciiTheme="minorHAnsi" w:eastAsia="Times New Roman" w:hAnsiTheme="minorHAnsi" w:cs="Arial"/>
                <w:color w:val="333333"/>
                <w:lang w:val="es-MX" w:eastAsia="es-MX"/>
              </w:rPr>
            </w:pPr>
            <w:r w:rsidRPr="002E586E">
              <w:rPr>
                <w:rFonts w:asciiTheme="minorHAnsi" w:eastAsiaTheme="minorHAnsi" w:hAnsiTheme="minorHAnsi" w:cs="Arial"/>
                <w:bCs/>
                <w:lang w:val="es-MX"/>
              </w:rPr>
              <w:t>Financieras y de Cumplimiento</w:t>
            </w:r>
          </w:p>
        </w:tc>
        <w:tc>
          <w:tcPr>
            <w:tcW w:w="994" w:type="dxa"/>
            <w:tcBorders>
              <w:top w:val="nil"/>
              <w:left w:val="nil"/>
              <w:bottom w:val="single" w:sz="4" w:space="0" w:color="auto"/>
              <w:right w:val="single" w:sz="4" w:space="0" w:color="auto"/>
            </w:tcBorders>
            <w:shd w:val="clear" w:color="000000" w:fill="FFFFFF"/>
            <w:vAlign w:val="center"/>
          </w:tcPr>
          <w:p w:rsidR="002E586E" w:rsidRPr="008E3567" w:rsidRDefault="002E586E" w:rsidP="00E159C8">
            <w:pPr>
              <w:spacing w:after="0" w:line="240" w:lineRule="auto"/>
              <w:jc w:val="center"/>
              <w:rPr>
                <w:rFonts w:asciiTheme="minorHAnsi" w:eastAsia="Times New Roman" w:hAnsiTheme="minorHAnsi" w:cs="Arial"/>
                <w:color w:val="333333"/>
                <w:sz w:val="30"/>
                <w:szCs w:val="30"/>
                <w:lang w:val="es-MX" w:eastAsia="es-MX"/>
              </w:rPr>
            </w:pPr>
            <w:r w:rsidRPr="008E3567">
              <w:rPr>
                <w:rFonts w:asciiTheme="minorHAnsi" w:eastAsia="Times New Roman" w:hAnsiTheme="minorHAnsi" w:cs="Arial"/>
                <w:color w:val="333333"/>
                <w:sz w:val="30"/>
                <w:szCs w:val="30"/>
                <w:lang w:val="es-MX" w:eastAsia="es-MX"/>
              </w:rPr>
              <w:t>734</w:t>
            </w:r>
          </w:p>
        </w:tc>
        <w:tc>
          <w:tcPr>
            <w:tcW w:w="8773" w:type="dxa"/>
            <w:tcBorders>
              <w:top w:val="nil"/>
              <w:left w:val="nil"/>
              <w:bottom w:val="single" w:sz="4" w:space="0" w:color="auto"/>
              <w:right w:val="single" w:sz="4" w:space="0" w:color="auto"/>
            </w:tcBorders>
            <w:shd w:val="clear" w:color="000000" w:fill="FFFFFF"/>
            <w:vAlign w:val="center"/>
          </w:tcPr>
          <w:p w:rsidR="002E586E" w:rsidRPr="002E586E" w:rsidRDefault="002E586E" w:rsidP="00E159C8">
            <w:pPr>
              <w:spacing w:after="0" w:line="240" w:lineRule="auto"/>
              <w:rPr>
                <w:rFonts w:asciiTheme="minorHAnsi" w:eastAsia="Times New Roman" w:hAnsiTheme="minorHAnsi" w:cs="Arial"/>
                <w:color w:val="333333"/>
                <w:lang w:val="es-MX" w:eastAsia="es-MX"/>
              </w:rPr>
            </w:pPr>
            <w:r w:rsidRPr="002E586E">
              <w:rPr>
                <w:rFonts w:asciiTheme="minorHAnsi" w:eastAsiaTheme="minorHAnsi" w:hAnsiTheme="minorHAnsi" w:cs="Arial Narrow"/>
                <w:lang w:val="es-MX"/>
              </w:rPr>
              <w:t>Recursos del Fondo de Aportaciones para el Fortalecimiento de los &lt;Municipios y de las Demarcaciones Territoriales del Distrito Federal</w:t>
            </w:r>
          </w:p>
        </w:tc>
        <w:tc>
          <w:tcPr>
            <w:tcW w:w="874" w:type="dxa"/>
            <w:tcBorders>
              <w:top w:val="nil"/>
              <w:left w:val="nil"/>
              <w:bottom w:val="single" w:sz="4" w:space="0" w:color="auto"/>
              <w:right w:val="single" w:sz="4" w:space="0" w:color="auto"/>
            </w:tcBorders>
            <w:shd w:val="clear" w:color="000000" w:fill="FFFFFF"/>
            <w:vAlign w:val="center"/>
          </w:tcPr>
          <w:p w:rsidR="002E586E" w:rsidRPr="002E586E" w:rsidRDefault="002E586E" w:rsidP="00E159C8">
            <w:pPr>
              <w:spacing w:after="0" w:line="240" w:lineRule="auto"/>
              <w:jc w:val="center"/>
              <w:rPr>
                <w:rFonts w:asciiTheme="minorHAnsi" w:eastAsia="Times New Roman" w:hAnsiTheme="minorHAnsi" w:cs="Arial"/>
                <w:color w:val="333333"/>
                <w:lang w:val="es-MX" w:eastAsia="es-MX"/>
              </w:rPr>
            </w:pPr>
          </w:p>
        </w:tc>
      </w:tr>
      <w:tr w:rsidR="002E586E" w:rsidRPr="002E586E" w:rsidTr="00C9115D">
        <w:trPr>
          <w:trHeight w:val="861"/>
        </w:trPr>
        <w:tc>
          <w:tcPr>
            <w:tcW w:w="942" w:type="dxa"/>
            <w:tcBorders>
              <w:top w:val="nil"/>
              <w:left w:val="single" w:sz="4" w:space="0" w:color="auto"/>
              <w:bottom w:val="single" w:sz="4" w:space="0" w:color="auto"/>
              <w:right w:val="single" w:sz="4" w:space="0" w:color="auto"/>
            </w:tcBorders>
            <w:shd w:val="clear" w:color="auto" w:fill="auto"/>
            <w:vAlign w:val="center"/>
          </w:tcPr>
          <w:p w:rsidR="002E586E" w:rsidRPr="002E586E" w:rsidRDefault="002E586E" w:rsidP="00E159C8">
            <w:pPr>
              <w:spacing w:after="0" w:line="240" w:lineRule="auto"/>
              <w:jc w:val="center"/>
              <w:rPr>
                <w:rFonts w:asciiTheme="minorHAnsi" w:eastAsia="Times New Roman" w:hAnsiTheme="minorHAnsi" w:cs="Arial"/>
                <w:lang w:val="es-MX" w:eastAsia="es-MX"/>
              </w:rPr>
            </w:pPr>
            <w:r w:rsidRPr="002E586E">
              <w:rPr>
                <w:rFonts w:asciiTheme="minorHAnsi" w:eastAsia="Times New Roman" w:hAnsiTheme="minorHAnsi" w:cs="Arial"/>
                <w:lang w:val="es-MX" w:eastAsia="es-MX"/>
              </w:rPr>
              <w:t>7</w:t>
            </w:r>
          </w:p>
        </w:tc>
        <w:tc>
          <w:tcPr>
            <w:tcW w:w="1146" w:type="dxa"/>
            <w:tcBorders>
              <w:top w:val="nil"/>
              <w:left w:val="nil"/>
              <w:bottom w:val="single" w:sz="4" w:space="0" w:color="auto"/>
              <w:right w:val="single" w:sz="4" w:space="0" w:color="auto"/>
            </w:tcBorders>
            <w:shd w:val="clear" w:color="000000" w:fill="FFFFFF"/>
            <w:vAlign w:val="center"/>
          </w:tcPr>
          <w:p w:rsidR="002E586E" w:rsidRPr="002E586E" w:rsidRDefault="002E586E" w:rsidP="00E159C8">
            <w:pPr>
              <w:spacing w:after="0" w:line="240" w:lineRule="auto"/>
              <w:jc w:val="center"/>
              <w:rPr>
                <w:rFonts w:asciiTheme="minorHAnsi" w:eastAsia="Times New Roman" w:hAnsiTheme="minorHAnsi" w:cs="Arial"/>
                <w:color w:val="333333"/>
                <w:lang w:val="es-MX" w:eastAsia="es-MX"/>
              </w:rPr>
            </w:pPr>
            <w:r w:rsidRPr="002E586E">
              <w:rPr>
                <w:rFonts w:asciiTheme="minorHAnsi" w:eastAsia="Times New Roman" w:hAnsiTheme="minorHAnsi" w:cs="Arial"/>
                <w:color w:val="333333"/>
                <w:lang w:val="es-MX" w:eastAsia="es-MX"/>
              </w:rPr>
              <w:t>2007</w:t>
            </w:r>
          </w:p>
        </w:tc>
        <w:tc>
          <w:tcPr>
            <w:tcW w:w="1607" w:type="dxa"/>
            <w:tcBorders>
              <w:top w:val="nil"/>
              <w:left w:val="nil"/>
              <w:bottom w:val="single" w:sz="4" w:space="0" w:color="auto"/>
              <w:right w:val="single" w:sz="4" w:space="0" w:color="auto"/>
            </w:tcBorders>
            <w:shd w:val="clear" w:color="000000" w:fill="FFFFFF"/>
            <w:vAlign w:val="center"/>
          </w:tcPr>
          <w:p w:rsidR="002E586E" w:rsidRPr="002E586E" w:rsidRDefault="002E586E" w:rsidP="00E159C8">
            <w:pPr>
              <w:spacing w:after="0" w:line="240" w:lineRule="auto"/>
              <w:jc w:val="center"/>
              <w:rPr>
                <w:rFonts w:asciiTheme="minorHAnsi" w:eastAsia="Times New Roman" w:hAnsiTheme="minorHAnsi" w:cs="Arial"/>
                <w:color w:val="333333"/>
                <w:lang w:val="es-MX" w:eastAsia="es-MX"/>
              </w:rPr>
            </w:pPr>
            <w:r w:rsidRPr="002E586E">
              <w:rPr>
                <w:rFonts w:asciiTheme="minorHAnsi" w:eastAsiaTheme="minorHAnsi" w:hAnsiTheme="minorHAnsi" w:cs="Arial"/>
                <w:bCs/>
                <w:lang w:val="es-MX"/>
              </w:rPr>
              <w:t>Desempeño</w:t>
            </w:r>
          </w:p>
        </w:tc>
        <w:tc>
          <w:tcPr>
            <w:tcW w:w="994" w:type="dxa"/>
            <w:tcBorders>
              <w:top w:val="nil"/>
              <w:left w:val="nil"/>
              <w:bottom w:val="single" w:sz="4" w:space="0" w:color="auto"/>
              <w:right w:val="single" w:sz="4" w:space="0" w:color="auto"/>
            </w:tcBorders>
            <w:shd w:val="clear" w:color="000000" w:fill="FFFFFF"/>
            <w:vAlign w:val="center"/>
          </w:tcPr>
          <w:p w:rsidR="002E586E" w:rsidRPr="008E3567" w:rsidRDefault="002E586E" w:rsidP="00E159C8">
            <w:pPr>
              <w:spacing w:after="0" w:line="240" w:lineRule="auto"/>
              <w:jc w:val="center"/>
              <w:rPr>
                <w:rFonts w:asciiTheme="minorHAnsi" w:eastAsia="Times New Roman" w:hAnsiTheme="minorHAnsi" w:cs="Arial"/>
                <w:color w:val="333333"/>
                <w:sz w:val="30"/>
                <w:szCs w:val="30"/>
                <w:lang w:val="es-MX" w:eastAsia="es-MX"/>
              </w:rPr>
            </w:pPr>
            <w:r w:rsidRPr="008E3567">
              <w:rPr>
                <w:rFonts w:asciiTheme="minorHAnsi" w:eastAsiaTheme="minorHAnsi" w:hAnsiTheme="minorHAnsi" w:cs="ArialNarrow"/>
                <w:sz w:val="30"/>
                <w:szCs w:val="30"/>
                <w:lang w:val="es-MX"/>
              </w:rPr>
              <w:t>732</w:t>
            </w:r>
          </w:p>
        </w:tc>
        <w:tc>
          <w:tcPr>
            <w:tcW w:w="8773" w:type="dxa"/>
            <w:tcBorders>
              <w:top w:val="nil"/>
              <w:left w:val="nil"/>
              <w:bottom w:val="single" w:sz="4" w:space="0" w:color="auto"/>
              <w:right w:val="single" w:sz="4" w:space="0" w:color="auto"/>
            </w:tcBorders>
            <w:shd w:val="clear" w:color="000000" w:fill="FFFFFF"/>
            <w:vAlign w:val="center"/>
          </w:tcPr>
          <w:p w:rsidR="002E586E" w:rsidRPr="002E586E" w:rsidRDefault="002E586E" w:rsidP="00E159C8">
            <w:pPr>
              <w:spacing w:after="0" w:line="240" w:lineRule="auto"/>
              <w:rPr>
                <w:rFonts w:asciiTheme="minorHAnsi" w:eastAsia="Times New Roman" w:hAnsiTheme="minorHAnsi" w:cs="Arial"/>
                <w:color w:val="333333"/>
                <w:lang w:val="es-MX" w:eastAsia="es-MX"/>
              </w:rPr>
            </w:pPr>
            <w:r w:rsidRPr="002E586E">
              <w:rPr>
                <w:rFonts w:asciiTheme="minorHAnsi" w:eastAsiaTheme="minorHAnsi" w:hAnsiTheme="minorHAnsi" w:cs="ArialNarrow"/>
                <w:lang w:val="es-MX"/>
              </w:rPr>
              <w:t>Recursos del Fondo para la Infraestructura Social Municipal (M. de Juárez)</w:t>
            </w:r>
          </w:p>
        </w:tc>
        <w:tc>
          <w:tcPr>
            <w:tcW w:w="874" w:type="dxa"/>
            <w:tcBorders>
              <w:top w:val="nil"/>
              <w:left w:val="nil"/>
              <w:bottom w:val="single" w:sz="4" w:space="0" w:color="auto"/>
              <w:right w:val="single" w:sz="4" w:space="0" w:color="auto"/>
            </w:tcBorders>
            <w:shd w:val="clear" w:color="000000" w:fill="FFFFFF"/>
            <w:vAlign w:val="center"/>
          </w:tcPr>
          <w:p w:rsidR="002E586E" w:rsidRPr="002E586E" w:rsidRDefault="002E586E" w:rsidP="00E159C8">
            <w:pPr>
              <w:spacing w:after="0" w:line="240" w:lineRule="auto"/>
              <w:jc w:val="center"/>
              <w:rPr>
                <w:rFonts w:asciiTheme="minorHAnsi" w:eastAsia="Times New Roman" w:hAnsiTheme="minorHAnsi" w:cs="Arial"/>
                <w:color w:val="333333"/>
                <w:lang w:val="es-MX" w:eastAsia="es-MX"/>
              </w:rPr>
            </w:pPr>
          </w:p>
        </w:tc>
      </w:tr>
    </w:tbl>
    <w:p w:rsidR="00207A33" w:rsidRDefault="00207A33" w:rsidP="00744F90">
      <w:pPr>
        <w:pStyle w:val="Sinespaciado"/>
        <w:rPr>
          <w:rFonts w:asciiTheme="minorHAnsi" w:hAnsiTheme="minorHAnsi"/>
          <w:b/>
        </w:rPr>
      </w:pPr>
    </w:p>
    <w:p w:rsidR="00207A33" w:rsidRPr="00207A33" w:rsidRDefault="00207A33" w:rsidP="00744F90">
      <w:pPr>
        <w:pStyle w:val="Sinespaciado"/>
        <w:rPr>
          <w:rFonts w:asciiTheme="minorHAnsi" w:hAnsiTheme="minorHAnsi"/>
          <w:b/>
        </w:rPr>
      </w:pPr>
    </w:p>
    <w:p w:rsidR="00744F90" w:rsidRDefault="00744F90" w:rsidP="00744F90">
      <w:pPr>
        <w:pStyle w:val="Sinespaciado"/>
        <w:rPr>
          <w:rFonts w:asciiTheme="minorHAnsi" w:hAnsiTheme="minorHAnsi"/>
          <w:b/>
        </w:rPr>
      </w:pPr>
    </w:p>
    <w:tbl>
      <w:tblPr>
        <w:tblW w:w="14336" w:type="dxa"/>
        <w:tblCellMar>
          <w:left w:w="70" w:type="dxa"/>
          <w:right w:w="70" w:type="dxa"/>
        </w:tblCellMar>
        <w:tblLook w:val="04A0" w:firstRow="1" w:lastRow="0" w:firstColumn="1" w:lastColumn="0" w:noHBand="0" w:noVBand="1"/>
      </w:tblPr>
      <w:tblGrid>
        <w:gridCol w:w="939"/>
        <w:gridCol w:w="1143"/>
        <w:gridCol w:w="1606"/>
        <w:gridCol w:w="993"/>
        <w:gridCol w:w="8724"/>
        <w:gridCol w:w="931"/>
      </w:tblGrid>
      <w:tr w:rsidR="008E3567" w:rsidRPr="002E586E" w:rsidTr="002E586E">
        <w:trPr>
          <w:trHeight w:val="51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8E3567" w:rsidRPr="002E586E" w:rsidRDefault="008E3567" w:rsidP="008E3567">
            <w:pPr>
              <w:spacing w:after="0" w:line="240" w:lineRule="auto"/>
              <w:rPr>
                <w:rFonts w:asciiTheme="minorHAnsi" w:eastAsia="Times New Roman" w:hAnsiTheme="minorHAnsi" w:cs="Arial"/>
                <w:lang w:val="es-MX" w:eastAsia="es-MX"/>
              </w:rPr>
            </w:pPr>
            <w:r>
              <w:rPr>
                <w:rFonts w:asciiTheme="minorHAnsi" w:eastAsia="Times New Roman" w:hAnsiTheme="minorHAnsi" w:cs="Arial"/>
                <w:lang w:val="es-MX" w:eastAsia="es-MX"/>
              </w:rPr>
              <w:t xml:space="preserve">  No.</w:t>
            </w:r>
          </w:p>
        </w:tc>
        <w:tc>
          <w:tcPr>
            <w:tcW w:w="1143" w:type="dxa"/>
            <w:tcBorders>
              <w:top w:val="single" w:sz="4" w:space="0" w:color="auto"/>
              <w:left w:val="nil"/>
              <w:bottom w:val="single" w:sz="4" w:space="0" w:color="auto"/>
              <w:right w:val="single" w:sz="4" w:space="0" w:color="auto"/>
            </w:tcBorders>
            <w:shd w:val="clear" w:color="auto" w:fill="auto"/>
            <w:vAlign w:val="center"/>
          </w:tcPr>
          <w:p w:rsidR="008E3567" w:rsidRPr="002E586E" w:rsidRDefault="008E3567" w:rsidP="008E3567">
            <w:pPr>
              <w:spacing w:after="0" w:line="240" w:lineRule="auto"/>
              <w:jc w:val="center"/>
              <w:rPr>
                <w:rFonts w:asciiTheme="minorHAnsi" w:eastAsia="Times New Roman" w:hAnsiTheme="minorHAnsi" w:cs="Arial"/>
                <w:bCs/>
                <w:color w:val="333333"/>
                <w:lang w:val="es-MX" w:eastAsia="es-MX"/>
              </w:rPr>
            </w:pPr>
            <w:r w:rsidRPr="00207A33">
              <w:rPr>
                <w:rFonts w:eastAsia="Times New Roman" w:cs="Arial"/>
                <w:b/>
                <w:bCs/>
                <w:color w:val="333333"/>
                <w:sz w:val="20"/>
                <w:szCs w:val="20"/>
                <w:lang w:val="es-MX" w:eastAsia="es-MX"/>
              </w:rPr>
              <w:t>Año Cuenta Pública</w:t>
            </w:r>
          </w:p>
        </w:tc>
        <w:tc>
          <w:tcPr>
            <w:tcW w:w="1606" w:type="dxa"/>
            <w:tcBorders>
              <w:top w:val="single" w:sz="4" w:space="0" w:color="auto"/>
              <w:left w:val="nil"/>
              <w:bottom w:val="single" w:sz="4" w:space="0" w:color="auto"/>
              <w:right w:val="single" w:sz="4" w:space="0" w:color="auto"/>
            </w:tcBorders>
            <w:shd w:val="clear" w:color="auto" w:fill="auto"/>
            <w:vAlign w:val="center"/>
          </w:tcPr>
          <w:p w:rsidR="008E3567" w:rsidRPr="002E586E" w:rsidRDefault="008E3567" w:rsidP="008E3567">
            <w:pPr>
              <w:spacing w:after="0" w:line="240" w:lineRule="auto"/>
              <w:jc w:val="center"/>
              <w:rPr>
                <w:rFonts w:asciiTheme="minorHAnsi" w:eastAsia="Times New Roman" w:hAnsiTheme="minorHAnsi" w:cs="Arial"/>
                <w:color w:val="333333"/>
                <w:lang w:val="es-MX" w:eastAsia="es-MX"/>
              </w:rPr>
            </w:pPr>
            <w:r w:rsidRPr="00207A33">
              <w:rPr>
                <w:rFonts w:eastAsia="Times New Roman" w:cs="Arial"/>
                <w:b/>
                <w:bCs/>
                <w:color w:val="333333"/>
                <w:sz w:val="20"/>
                <w:szCs w:val="20"/>
                <w:lang w:val="es-MX" w:eastAsia="es-MX"/>
              </w:rPr>
              <w:t>Tipo Auditoría</w:t>
            </w:r>
          </w:p>
        </w:tc>
        <w:tc>
          <w:tcPr>
            <w:tcW w:w="993" w:type="dxa"/>
            <w:tcBorders>
              <w:top w:val="single" w:sz="4" w:space="0" w:color="auto"/>
              <w:left w:val="nil"/>
              <w:bottom w:val="single" w:sz="4" w:space="0" w:color="auto"/>
              <w:right w:val="single" w:sz="4" w:space="0" w:color="auto"/>
            </w:tcBorders>
            <w:shd w:val="clear" w:color="auto" w:fill="auto"/>
            <w:vAlign w:val="center"/>
          </w:tcPr>
          <w:p w:rsidR="008E3567" w:rsidRPr="00207A33" w:rsidRDefault="008E3567" w:rsidP="008E3567">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Número</w:t>
            </w:r>
          </w:p>
        </w:tc>
        <w:tc>
          <w:tcPr>
            <w:tcW w:w="8724" w:type="dxa"/>
            <w:tcBorders>
              <w:top w:val="single" w:sz="4" w:space="0" w:color="auto"/>
              <w:left w:val="nil"/>
              <w:bottom w:val="single" w:sz="4" w:space="0" w:color="auto"/>
              <w:right w:val="single" w:sz="4" w:space="0" w:color="auto"/>
            </w:tcBorders>
            <w:shd w:val="clear" w:color="auto" w:fill="auto"/>
            <w:vAlign w:val="center"/>
          </w:tcPr>
          <w:p w:rsidR="008E3567" w:rsidRPr="002E586E" w:rsidRDefault="008E3567" w:rsidP="008E3567">
            <w:pPr>
              <w:spacing w:after="0" w:line="240" w:lineRule="auto"/>
              <w:rPr>
                <w:rFonts w:asciiTheme="minorHAnsi" w:eastAsia="Times New Roman" w:hAnsiTheme="minorHAnsi" w:cs="Arial"/>
                <w:bCs/>
                <w:color w:val="333333"/>
                <w:lang w:val="es-MX" w:eastAsia="es-MX"/>
              </w:rPr>
            </w:pPr>
            <w:r w:rsidRPr="00207A33">
              <w:rPr>
                <w:rFonts w:eastAsia="Times New Roman" w:cs="Arial"/>
                <w:b/>
                <w:bCs/>
                <w:color w:val="333333"/>
                <w:sz w:val="20"/>
                <w:szCs w:val="20"/>
                <w:lang w:val="es-MX" w:eastAsia="es-MX"/>
              </w:rPr>
              <w:t>Título</w:t>
            </w:r>
          </w:p>
        </w:tc>
        <w:tc>
          <w:tcPr>
            <w:tcW w:w="931" w:type="dxa"/>
            <w:tcBorders>
              <w:top w:val="single" w:sz="4" w:space="0" w:color="auto"/>
              <w:left w:val="nil"/>
              <w:bottom w:val="single" w:sz="4" w:space="0" w:color="auto"/>
              <w:right w:val="single" w:sz="4" w:space="0" w:color="auto"/>
            </w:tcBorders>
            <w:shd w:val="clear" w:color="000000" w:fill="FFFFFF"/>
            <w:vAlign w:val="center"/>
          </w:tcPr>
          <w:p w:rsidR="008E3567" w:rsidRPr="002E586E" w:rsidRDefault="008E3567" w:rsidP="008E3567">
            <w:pPr>
              <w:spacing w:after="0" w:line="240" w:lineRule="auto"/>
              <w:jc w:val="center"/>
              <w:rPr>
                <w:rFonts w:asciiTheme="minorHAnsi" w:eastAsia="Times New Roman" w:hAnsiTheme="minorHAnsi" w:cs="Arial"/>
                <w:bCs/>
                <w:color w:val="333333"/>
                <w:lang w:val="es-MX" w:eastAsia="es-MX"/>
              </w:rPr>
            </w:pPr>
            <w:r w:rsidRPr="00207A33">
              <w:rPr>
                <w:rFonts w:eastAsia="Times New Roman" w:cs="Arial"/>
                <w:b/>
                <w:bCs/>
                <w:color w:val="333333"/>
                <w:sz w:val="20"/>
                <w:szCs w:val="20"/>
                <w:lang w:val="es-MX" w:eastAsia="es-MX"/>
              </w:rPr>
              <w:t>Acciones</w:t>
            </w:r>
          </w:p>
        </w:tc>
      </w:tr>
      <w:tr w:rsidR="008E3567" w:rsidRPr="002E586E" w:rsidTr="002E586E">
        <w:trPr>
          <w:trHeight w:val="51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8E3567" w:rsidRPr="002E586E" w:rsidRDefault="008E3567" w:rsidP="008E3567">
            <w:pPr>
              <w:spacing w:after="0" w:line="240" w:lineRule="auto"/>
              <w:jc w:val="center"/>
              <w:rPr>
                <w:rFonts w:asciiTheme="minorHAnsi" w:eastAsia="Times New Roman" w:hAnsiTheme="minorHAnsi" w:cs="Arial"/>
                <w:lang w:val="es-MX" w:eastAsia="es-MX"/>
              </w:rPr>
            </w:pPr>
            <w:r w:rsidRPr="002E586E">
              <w:rPr>
                <w:rFonts w:asciiTheme="minorHAnsi" w:eastAsia="Times New Roman" w:hAnsiTheme="minorHAnsi" w:cs="Arial"/>
                <w:lang w:val="es-MX" w:eastAsia="es-MX"/>
              </w:rPr>
              <w:t>1</w:t>
            </w:r>
          </w:p>
        </w:tc>
        <w:tc>
          <w:tcPr>
            <w:tcW w:w="1143" w:type="dxa"/>
            <w:tcBorders>
              <w:top w:val="single" w:sz="4" w:space="0" w:color="auto"/>
              <w:left w:val="nil"/>
              <w:bottom w:val="single" w:sz="4" w:space="0" w:color="auto"/>
              <w:right w:val="single" w:sz="4" w:space="0" w:color="auto"/>
            </w:tcBorders>
            <w:shd w:val="clear" w:color="auto" w:fill="auto"/>
            <w:vAlign w:val="center"/>
          </w:tcPr>
          <w:p w:rsidR="008E3567" w:rsidRPr="002E586E" w:rsidRDefault="008E3567" w:rsidP="008E3567">
            <w:pPr>
              <w:spacing w:after="0" w:line="240" w:lineRule="auto"/>
              <w:jc w:val="center"/>
              <w:rPr>
                <w:rFonts w:asciiTheme="minorHAnsi" w:eastAsia="Times New Roman" w:hAnsiTheme="minorHAnsi" w:cs="Arial"/>
                <w:bCs/>
                <w:color w:val="333333"/>
                <w:lang w:val="es-MX" w:eastAsia="es-MX"/>
              </w:rPr>
            </w:pPr>
            <w:r w:rsidRPr="002E586E">
              <w:rPr>
                <w:rFonts w:asciiTheme="minorHAnsi" w:eastAsia="Times New Roman" w:hAnsiTheme="minorHAnsi" w:cs="Arial"/>
                <w:bCs/>
                <w:color w:val="333333"/>
                <w:lang w:val="es-MX" w:eastAsia="es-MX"/>
              </w:rPr>
              <w:t>2015</w:t>
            </w:r>
          </w:p>
        </w:tc>
        <w:tc>
          <w:tcPr>
            <w:tcW w:w="1606" w:type="dxa"/>
            <w:tcBorders>
              <w:top w:val="single" w:sz="4" w:space="0" w:color="auto"/>
              <w:left w:val="nil"/>
              <w:bottom w:val="single" w:sz="4" w:space="0" w:color="auto"/>
              <w:right w:val="single" w:sz="4" w:space="0" w:color="auto"/>
            </w:tcBorders>
            <w:shd w:val="clear" w:color="auto" w:fill="auto"/>
            <w:vAlign w:val="center"/>
          </w:tcPr>
          <w:p w:rsidR="008E3567" w:rsidRPr="002E586E" w:rsidRDefault="008E3567" w:rsidP="008E3567">
            <w:pPr>
              <w:spacing w:after="0" w:line="240" w:lineRule="auto"/>
              <w:jc w:val="center"/>
              <w:rPr>
                <w:rFonts w:asciiTheme="minorHAnsi" w:eastAsia="Times New Roman" w:hAnsiTheme="minorHAnsi" w:cs="Arial"/>
                <w:color w:val="333333"/>
                <w:lang w:val="es-MX" w:eastAsia="es-MX"/>
              </w:rPr>
            </w:pPr>
            <w:r w:rsidRPr="002E586E">
              <w:rPr>
                <w:rFonts w:asciiTheme="minorHAnsi" w:eastAsia="Times New Roman" w:hAnsiTheme="minorHAnsi" w:cs="Arial"/>
                <w:color w:val="333333"/>
                <w:lang w:val="es-MX" w:eastAsia="es-MX"/>
              </w:rPr>
              <w:t>Financiera con enfoque en desempeño</w:t>
            </w:r>
          </w:p>
        </w:tc>
        <w:tc>
          <w:tcPr>
            <w:tcW w:w="993" w:type="dxa"/>
            <w:tcBorders>
              <w:top w:val="single" w:sz="4" w:space="0" w:color="auto"/>
              <w:left w:val="nil"/>
              <w:bottom w:val="single" w:sz="4" w:space="0" w:color="auto"/>
              <w:right w:val="single" w:sz="4" w:space="0" w:color="auto"/>
            </w:tcBorders>
            <w:shd w:val="clear" w:color="auto" w:fill="auto"/>
            <w:vAlign w:val="center"/>
          </w:tcPr>
          <w:p w:rsidR="008E3567" w:rsidRPr="008E3567" w:rsidRDefault="008E3567" w:rsidP="008E3567">
            <w:pPr>
              <w:spacing w:after="0" w:line="240" w:lineRule="auto"/>
              <w:jc w:val="center"/>
              <w:rPr>
                <w:rFonts w:asciiTheme="minorHAnsi" w:eastAsia="Times New Roman" w:hAnsiTheme="minorHAnsi" w:cs="Arial"/>
                <w:b/>
                <w:bCs/>
                <w:color w:val="333333"/>
                <w:sz w:val="30"/>
                <w:szCs w:val="30"/>
                <w:lang w:val="es-MX" w:eastAsia="es-MX"/>
              </w:rPr>
            </w:pPr>
            <w:r w:rsidRPr="008E3567">
              <w:rPr>
                <w:rFonts w:asciiTheme="minorHAnsi" w:eastAsia="Times New Roman" w:hAnsiTheme="minorHAnsi" w:cs="Arial"/>
                <w:b/>
                <w:bCs/>
                <w:color w:val="333333"/>
                <w:sz w:val="30"/>
                <w:szCs w:val="30"/>
                <w:lang w:val="es-MX" w:eastAsia="es-MX"/>
              </w:rPr>
              <w:t>730</w:t>
            </w:r>
          </w:p>
        </w:tc>
        <w:tc>
          <w:tcPr>
            <w:tcW w:w="8724" w:type="dxa"/>
            <w:tcBorders>
              <w:top w:val="single" w:sz="4" w:space="0" w:color="auto"/>
              <w:left w:val="nil"/>
              <w:bottom w:val="single" w:sz="4" w:space="0" w:color="auto"/>
              <w:right w:val="single" w:sz="4" w:space="0" w:color="auto"/>
            </w:tcBorders>
            <w:shd w:val="clear" w:color="auto" w:fill="auto"/>
            <w:vAlign w:val="center"/>
          </w:tcPr>
          <w:p w:rsidR="008E3567" w:rsidRPr="002E586E" w:rsidRDefault="008E3567" w:rsidP="008E3567">
            <w:pPr>
              <w:autoSpaceDE w:val="0"/>
              <w:autoSpaceDN w:val="0"/>
              <w:adjustRightInd w:val="0"/>
              <w:spacing w:after="0" w:line="240" w:lineRule="auto"/>
              <w:rPr>
                <w:rFonts w:asciiTheme="minorHAnsi" w:eastAsiaTheme="minorHAnsi" w:hAnsiTheme="minorHAnsi"/>
                <w:color w:val="000000"/>
                <w:lang w:val="es-MX"/>
              </w:rPr>
            </w:pPr>
            <w:r w:rsidRPr="002E586E">
              <w:rPr>
                <w:rFonts w:asciiTheme="minorHAnsi" w:eastAsiaTheme="minorHAnsi" w:hAnsiTheme="minorHAnsi"/>
                <w:bCs/>
                <w:color w:val="000000"/>
                <w:lang w:val="es-MX"/>
              </w:rPr>
              <w:t>Recursos del Fondo de Aportaciones para la Infraestructura Social Municipal y de las Demarcaciones Territoriales del Distrito Federal</w:t>
            </w:r>
          </w:p>
        </w:tc>
        <w:tc>
          <w:tcPr>
            <w:tcW w:w="931" w:type="dxa"/>
            <w:tcBorders>
              <w:top w:val="single" w:sz="4" w:space="0" w:color="auto"/>
              <w:left w:val="nil"/>
              <w:bottom w:val="single" w:sz="4" w:space="0" w:color="auto"/>
              <w:right w:val="single" w:sz="4" w:space="0" w:color="auto"/>
            </w:tcBorders>
            <w:shd w:val="clear" w:color="000000" w:fill="FFFFFF"/>
            <w:vAlign w:val="center"/>
          </w:tcPr>
          <w:p w:rsidR="008E3567" w:rsidRPr="002E586E" w:rsidRDefault="008E3567" w:rsidP="008E3567">
            <w:pPr>
              <w:spacing w:after="0" w:line="240" w:lineRule="auto"/>
              <w:jc w:val="center"/>
              <w:rPr>
                <w:rFonts w:asciiTheme="minorHAnsi" w:eastAsia="Times New Roman" w:hAnsiTheme="minorHAnsi" w:cs="Arial"/>
                <w:bCs/>
                <w:color w:val="333333"/>
                <w:lang w:val="es-MX" w:eastAsia="es-MX"/>
              </w:rPr>
            </w:pPr>
          </w:p>
        </w:tc>
      </w:tr>
      <w:tr w:rsidR="00536BA4"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6BA4" w:rsidRDefault="00536BA4" w:rsidP="00536BA4">
            <w:pPr>
              <w:autoSpaceDE w:val="0"/>
              <w:autoSpaceDN w:val="0"/>
              <w:adjustRightInd w:val="0"/>
              <w:spacing w:after="0" w:line="240" w:lineRule="auto"/>
              <w:jc w:val="center"/>
              <w:rPr>
                <w:rFonts w:eastAsiaTheme="minorHAnsi"/>
                <w:b/>
                <w:bCs/>
                <w:color w:val="000000"/>
                <w:lang w:val="es-MX"/>
              </w:rPr>
            </w:pPr>
            <w:r w:rsidRPr="00536BA4">
              <w:rPr>
                <w:rFonts w:eastAsiaTheme="minorHAnsi"/>
                <w:b/>
                <w:bCs/>
                <w:color w:val="000000"/>
                <w:lang w:val="es-MX"/>
              </w:rPr>
              <w:t>TRANSFERENCIA DE RECURSOS</w:t>
            </w:r>
          </w:p>
          <w:p w:rsidR="00536BA4" w:rsidRPr="00536BA4" w:rsidRDefault="00536BA4" w:rsidP="00536BA4">
            <w:pPr>
              <w:autoSpaceDE w:val="0"/>
              <w:autoSpaceDN w:val="0"/>
              <w:adjustRightInd w:val="0"/>
              <w:spacing w:after="0" w:line="240" w:lineRule="auto"/>
              <w:rPr>
                <w:rFonts w:eastAsiaTheme="minorHAnsi"/>
                <w:color w:val="000000"/>
                <w:lang w:val="es-MX"/>
              </w:rPr>
            </w:pPr>
          </w:p>
          <w:p w:rsidR="00536BA4" w:rsidRDefault="00536BA4" w:rsidP="00536BA4">
            <w:pPr>
              <w:spacing w:after="0" w:line="240" w:lineRule="auto"/>
              <w:rPr>
                <w:rFonts w:eastAsiaTheme="minorHAnsi"/>
                <w:color w:val="000000"/>
                <w:lang w:val="es-MX"/>
              </w:rPr>
            </w:pPr>
            <w:r w:rsidRPr="00536BA4">
              <w:rPr>
                <w:rFonts w:eastAsiaTheme="minorHAnsi"/>
                <w:b/>
                <w:bCs/>
                <w:color w:val="000000"/>
                <w:lang w:val="es-MX"/>
              </w:rPr>
              <w:t xml:space="preserve">2. </w:t>
            </w:r>
            <w:r w:rsidRPr="00536BA4">
              <w:rPr>
                <w:rFonts w:eastAsiaTheme="minorHAnsi"/>
                <w:color w:val="000000"/>
                <w:lang w:val="es-MX"/>
              </w:rPr>
              <w:t>El Gobierno del estado de Chihuahua enteró, en los primeros diez meses del año, por partes iguales y de acuerdo con el calendario establecido, los 187,234.7 miles de pesos asignados al municipio de Juárez, Chihuahua, para el FISMDF 2015; además, el municipio utilizó una cuenta bancaria productiva y específica en la que se manejaron exclusivamente los recursos del fondo y sus rendimientos ascendieron a 4,138.6 miles de pesos; asimismo, no se transfirieron recursos a otras cuentas bancarias para fines ajenos al fondo.</w:t>
            </w:r>
          </w:p>
          <w:p w:rsidR="00536BA4" w:rsidRDefault="00536BA4" w:rsidP="00536BA4">
            <w:pPr>
              <w:spacing w:after="0" w:line="240" w:lineRule="auto"/>
              <w:rPr>
                <w:rFonts w:eastAsiaTheme="minorHAnsi"/>
                <w:color w:val="000000"/>
                <w:lang w:val="es-MX"/>
              </w:rPr>
            </w:pPr>
          </w:p>
          <w:p w:rsidR="00536BA4" w:rsidRPr="00C81F70" w:rsidRDefault="00536BA4" w:rsidP="00536BA4">
            <w:pPr>
              <w:spacing w:after="0" w:line="240" w:lineRule="auto"/>
              <w:rPr>
                <w:rFonts w:eastAsia="Times New Roman" w:cs="Arial"/>
                <w:b/>
                <w:color w:val="333333"/>
                <w:lang w:val="es-MX" w:eastAsia="es-MX"/>
              </w:rPr>
            </w:pPr>
          </w:p>
        </w:tc>
      </w:tr>
      <w:tr w:rsidR="00536BA4"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6BA4" w:rsidRDefault="00536BA4" w:rsidP="00536BA4">
            <w:pPr>
              <w:pStyle w:val="Default"/>
              <w:jc w:val="center"/>
              <w:rPr>
                <w:b/>
                <w:bCs/>
                <w:sz w:val="22"/>
                <w:szCs w:val="22"/>
              </w:rPr>
            </w:pPr>
            <w:r>
              <w:rPr>
                <w:b/>
                <w:bCs/>
                <w:sz w:val="22"/>
                <w:szCs w:val="22"/>
              </w:rPr>
              <w:t>DESTINO DE LOS RECURSOS</w:t>
            </w:r>
          </w:p>
          <w:p w:rsidR="00536BA4" w:rsidRDefault="00536BA4" w:rsidP="00536BA4">
            <w:pPr>
              <w:pStyle w:val="Default"/>
              <w:jc w:val="center"/>
              <w:rPr>
                <w:sz w:val="22"/>
                <w:szCs w:val="22"/>
              </w:rPr>
            </w:pPr>
          </w:p>
          <w:p w:rsidR="00536BA4" w:rsidRDefault="00536BA4" w:rsidP="00536BA4">
            <w:pPr>
              <w:autoSpaceDE w:val="0"/>
              <w:autoSpaceDN w:val="0"/>
              <w:adjustRightInd w:val="0"/>
              <w:spacing w:after="0" w:line="240" w:lineRule="auto"/>
            </w:pPr>
            <w:r>
              <w:rPr>
                <w:b/>
                <w:bCs/>
              </w:rPr>
              <w:t xml:space="preserve">5. </w:t>
            </w:r>
            <w:r>
              <w:t>Al municipio, le fueron entregados 187,234.7 miles de pesos del FISMDF 2015, y durante su administración se generaron intereses por 4,138.6 miles de pesos, por lo que el total disponible para el ejercicio fiscal 2015 fue de 191,373.3 miles de pesos. De estos recursos se constató que al 31 de diciembre de 2015 se gastaron 63,530.9 miles de pesos, lo que representó el 33.2% del disponible y se determinó un subejercicio a este corte del 66.8 %, que equivale a 127,842.4 miles de pesos, en tanto que al 31 de julio de 2016, se gastaron 145,306.7 miles de pesos, que representaron el 75.9% del disponible, y se determinó un subejercicio a este último corte del 24.1%, que equivale a 46,066.6 miles de pesos, como se muestra a continuación:</w:t>
            </w:r>
          </w:p>
          <w:p w:rsidR="00536BA4" w:rsidRDefault="00536BA4" w:rsidP="00536BA4">
            <w:pPr>
              <w:autoSpaceDE w:val="0"/>
              <w:autoSpaceDN w:val="0"/>
              <w:adjustRightInd w:val="0"/>
              <w:spacing w:after="0" w:line="240" w:lineRule="auto"/>
            </w:pPr>
          </w:p>
          <w:p w:rsidR="00536BA4" w:rsidRDefault="00536BA4" w:rsidP="00536BA4">
            <w:pPr>
              <w:autoSpaceDE w:val="0"/>
              <w:autoSpaceDN w:val="0"/>
              <w:adjustRightInd w:val="0"/>
              <w:spacing w:after="0" w:line="240" w:lineRule="auto"/>
            </w:pPr>
          </w:p>
          <w:p w:rsidR="00536BA4" w:rsidRPr="00536BA4" w:rsidRDefault="00536BA4" w:rsidP="00536BA4">
            <w:pPr>
              <w:autoSpaceDE w:val="0"/>
              <w:autoSpaceDN w:val="0"/>
              <w:adjustRightInd w:val="0"/>
              <w:spacing w:after="0" w:line="240" w:lineRule="auto"/>
              <w:jc w:val="center"/>
              <w:rPr>
                <w:rFonts w:eastAsiaTheme="minorHAnsi"/>
                <w:b/>
                <w:bCs/>
                <w:color w:val="000000"/>
                <w:lang w:val="es-MX"/>
              </w:rPr>
            </w:pPr>
            <w:r>
              <w:rPr>
                <w:noProof/>
                <w:lang w:val="es-MX" w:eastAsia="es-MX"/>
              </w:rPr>
              <w:lastRenderedPageBreak/>
              <w:drawing>
                <wp:inline distT="0" distB="0" distL="0" distR="0" wp14:anchorId="00ADB2A5" wp14:editId="6E68177E">
                  <wp:extent cx="5210175" cy="3895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10175" cy="3895725"/>
                          </a:xfrm>
                          <a:prstGeom prst="rect">
                            <a:avLst/>
                          </a:prstGeom>
                        </pic:spPr>
                      </pic:pic>
                    </a:graphicData>
                  </a:graphic>
                </wp:inline>
              </w:drawing>
            </w:r>
          </w:p>
        </w:tc>
      </w:tr>
      <w:tr w:rsidR="008E3567"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E3567" w:rsidRPr="00C81F70" w:rsidRDefault="008E3567" w:rsidP="008E3567">
            <w:pPr>
              <w:spacing w:after="0" w:line="240" w:lineRule="auto"/>
              <w:jc w:val="center"/>
              <w:rPr>
                <w:rFonts w:eastAsia="Times New Roman" w:cs="Arial"/>
                <w:b/>
                <w:color w:val="333333"/>
                <w:lang w:val="es-MX" w:eastAsia="es-MX"/>
              </w:rPr>
            </w:pPr>
          </w:p>
          <w:p w:rsidR="008E3567" w:rsidRDefault="008E3567" w:rsidP="00002CB3">
            <w:pPr>
              <w:spacing w:after="0" w:line="240" w:lineRule="auto"/>
              <w:jc w:val="center"/>
              <w:rPr>
                <w:rFonts w:eastAsia="Times New Roman" w:cs="Arial"/>
                <w:b/>
                <w:color w:val="333333"/>
                <w:lang w:val="es-MX" w:eastAsia="es-MX"/>
              </w:rPr>
            </w:pPr>
            <w:r w:rsidRPr="00C81F70">
              <w:rPr>
                <w:rFonts w:eastAsia="Times New Roman" w:cs="Arial"/>
                <w:b/>
                <w:color w:val="333333"/>
                <w:lang w:val="es-MX" w:eastAsia="es-MX"/>
              </w:rPr>
              <w:t>PLIEGO DE OBSERVACIONES</w:t>
            </w:r>
          </w:p>
          <w:p w:rsidR="00536BA4" w:rsidRDefault="00536BA4" w:rsidP="00002CB3">
            <w:pPr>
              <w:spacing w:after="0" w:line="240" w:lineRule="auto"/>
              <w:jc w:val="center"/>
              <w:rPr>
                <w:rFonts w:eastAsia="Times New Roman" w:cs="Arial"/>
                <w:b/>
                <w:color w:val="333333"/>
                <w:lang w:val="es-MX" w:eastAsia="es-MX"/>
              </w:rPr>
            </w:pPr>
          </w:p>
          <w:p w:rsidR="00002CB3" w:rsidRPr="00002CB3" w:rsidRDefault="00002CB3" w:rsidP="00536BA4">
            <w:pPr>
              <w:autoSpaceDE w:val="0"/>
              <w:autoSpaceDN w:val="0"/>
              <w:adjustRightInd w:val="0"/>
              <w:spacing w:after="0" w:line="240" w:lineRule="auto"/>
              <w:jc w:val="both"/>
              <w:rPr>
                <w:rFonts w:eastAsiaTheme="minorHAnsi"/>
                <w:color w:val="000000"/>
                <w:lang w:val="es-MX"/>
              </w:rPr>
            </w:pPr>
            <w:r w:rsidRPr="00002CB3">
              <w:rPr>
                <w:rFonts w:eastAsiaTheme="minorHAnsi"/>
                <w:color w:val="000000"/>
                <w:lang w:val="es-MX"/>
              </w:rPr>
              <w:t xml:space="preserve">Se presume un probable daño o perjuicio o ambos a la Hacienda Pública Federal por un monto de 26,327,653.61 pesos (veintiséis millones trescientos veintisiete mil seiscientos cincuenta y tres pesos 61/100 M.N.), por no haber aplicado la totalidad de los recursos disponibles al 31 de julio de 2016, más los rendimientos generados hasta la aplicación de los recursos del fondo, lo que originó que la población objetivo no recibiera los beneficios programados, de acuerdo con la Ley de Coordinación Fiscal y los Lineamientos Generales para la Operación del Fondo de Aportaciones para la Infraestructura Social. </w:t>
            </w:r>
          </w:p>
          <w:p w:rsidR="00002CB3" w:rsidRPr="00002CB3" w:rsidRDefault="00002CB3" w:rsidP="00536BA4">
            <w:pPr>
              <w:autoSpaceDE w:val="0"/>
              <w:autoSpaceDN w:val="0"/>
              <w:adjustRightInd w:val="0"/>
              <w:spacing w:after="0" w:line="240" w:lineRule="auto"/>
              <w:jc w:val="both"/>
              <w:rPr>
                <w:rFonts w:eastAsiaTheme="minorHAnsi"/>
                <w:color w:val="000000"/>
                <w:lang w:val="es-MX"/>
              </w:rPr>
            </w:pPr>
            <w:r w:rsidRPr="00002CB3">
              <w:rPr>
                <w:rFonts w:eastAsiaTheme="minorHAnsi"/>
                <w:b/>
                <w:bCs/>
                <w:color w:val="000000"/>
                <w:lang w:val="es-MX"/>
              </w:rPr>
              <w:t xml:space="preserve">6. </w:t>
            </w:r>
            <w:r w:rsidRPr="00002CB3">
              <w:rPr>
                <w:rFonts w:eastAsiaTheme="minorHAnsi"/>
                <w:color w:val="000000"/>
                <w:lang w:val="es-MX"/>
              </w:rPr>
              <w:t xml:space="preserve">Con la revisión de los expedientes de las obras ejecutadas con recursos del FISMDF 2015, se determinó que el municipio destinó los recursos del fondo exclusivamente al financiamiento de obras que beneficiaron directamente a población en pobreza extrema en localidades con los mayores índices de rezago social y se realizaron Zonas de Atención Prioritaria, con proyectos que están considerados en los Lineamientos Generales del FAIS. </w:t>
            </w:r>
          </w:p>
          <w:p w:rsidR="00002CB3" w:rsidRPr="00C81F70" w:rsidRDefault="00002CB3" w:rsidP="00536BA4">
            <w:pPr>
              <w:spacing w:after="0" w:line="240" w:lineRule="auto"/>
              <w:jc w:val="both"/>
              <w:rPr>
                <w:rFonts w:eastAsia="Times New Roman" w:cs="Arial"/>
                <w:b/>
                <w:color w:val="333333"/>
                <w:lang w:val="es-MX" w:eastAsia="es-MX"/>
              </w:rPr>
            </w:pPr>
            <w:r w:rsidRPr="00002CB3">
              <w:rPr>
                <w:rFonts w:eastAsiaTheme="minorHAnsi"/>
                <w:b/>
                <w:bCs/>
                <w:color w:val="000000"/>
                <w:lang w:val="es-MX"/>
              </w:rPr>
              <w:lastRenderedPageBreak/>
              <w:t xml:space="preserve">7. </w:t>
            </w:r>
            <w:r w:rsidRPr="00002CB3">
              <w:rPr>
                <w:rFonts w:eastAsiaTheme="minorHAnsi"/>
                <w:color w:val="000000"/>
                <w:lang w:val="es-MX"/>
              </w:rPr>
              <w:t>Con la revisión de los expedientes de las obras ejecutadas con recursos del FISMDF 2015, se determinó que el municipio cumplió con la obligación de invertir al menos el 70.0% de los recursos en proyectos clasificados como de incidencia directa, ya que destinó para este tipo de proyecto el 71.3%, así como con un máximo del 30.0% de proyectos complementarios, e invertir al menos el 50.0% de los recursos para la atención de las ZAP urbanas, en virtud de que, destinó para estas áreas el 100.0%.</w:t>
            </w:r>
          </w:p>
          <w:p w:rsidR="008E3567" w:rsidRPr="00C81F70" w:rsidRDefault="008E3567" w:rsidP="008E3567">
            <w:pPr>
              <w:pStyle w:val="Default"/>
              <w:rPr>
                <w:sz w:val="22"/>
                <w:szCs w:val="22"/>
              </w:rPr>
            </w:pPr>
            <w:r w:rsidRPr="00C81F70">
              <w:rPr>
                <w:sz w:val="22"/>
                <w:szCs w:val="22"/>
              </w:rPr>
              <w:t>.</w:t>
            </w:r>
          </w:p>
        </w:tc>
      </w:tr>
      <w:tr w:rsidR="00002CB3"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2CB3" w:rsidRDefault="00002CB3" w:rsidP="008E3567">
            <w:pPr>
              <w:spacing w:after="0" w:line="240" w:lineRule="auto"/>
              <w:jc w:val="center"/>
              <w:rPr>
                <w:rFonts w:eastAsia="Times New Roman" w:cs="Arial"/>
                <w:b/>
                <w:color w:val="333333"/>
                <w:lang w:val="es-MX" w:eastAsia="es-MX"/>
              </w:rPr>
            </w:pPr>
            <w:r>
              <w:rPr>
                <w:rFonts w:eastAsia="Times New Roman" w:cs="Arial"/>
                <w:b/>
                <w:color w:val="333333"/>
                <w:lang w:val="es-MX" w:eastAsia="es-MX"/>
              </w:rPr>
              <w:lastRenderedPageBreak/>
              <w:t>TRANSPARENCIA</w:t>
            </w:r>
          </w:p>
          <w:p w:rsidR="00002CB3" w:rsidRDefault="00002CB3" w:rsidP="00536BA4">
            <w:pPr>
              <w:spacing w:after="0" w:line="240" w:lineRule="auto"/>
              <w:jc w:val="both"/>
              <w:rPr>
                <w:rFonts w:eastAsia="Times New Roman" w:cs="Arial"/>
                <w:b/>
                <w:color w:val="333333"/>
                <w:lang w:val="es-MX" w:eastAsia="es-MX"/>
              </w:rPr>
            </w:pPr>
          </w:p>
          <w:p w:rsidR="00002CB3" w:rsidRPr="00002CB3" w:rsidRDefault="00002CB3" w:rsidP="00536BA4">
            <w:pPr>
              <w:autoSpaceDE w:val="0"/>
              <w:autoSpaceDN w:val="0"/>
              <w:adjustRightInd w:val="0"/>
              <w:spacing w:after="0" w:line="240" w:lineRule="auto"/>
              <w:jc w:val="both"/>
              <w:rPr>
                <w:rFonts w:eastAsiaTheme="minorHAnsi"/>
                <w:color w:val="000000"/>
                <w:lang w:val="es-MX"/>
              </w:rPr>
            </w:pPr>
            <w:r w:rsidRPr="00002CB3">
              <w:rPr>
                <w:rFonts w:eastAsiaTheme="minorHAnsi"/>
                <w:b/>
                <w:bCs/>
                <w:color w:val="000000"/>
                <w:lang w:val="es-MX"/>
              </w:rPr>
              <w:t xml:space="preserve">8. </w:t>
            </w:r>
            <w:r w:rsidRPr="00002CB3">
              <w:rPr>
                <w:rFonts w:eastAsiaTheme="minorHAnsi"/>
                <w:color w:val="000000"/>
                <w:lang w:val="es-MX"/>
              </w:rPr>
              <w:t xml:space="preserve">Con la revisión del Sistema de Formato Único de la SHCP se constató que el municipio reportó los cuatro trimestres del Formato de Gestión de Proyectos, y del Formato Nivel Financiero, sobre el FISMDF 2015. Asimismo, se reportaron los indicadores de desempeño. </w:t>
            </w:r>
          </w:p>
          <w:p w:rsidR="00002CB3" w:rsidRPr="00002CB3" w:rsidRDefault="00002CB3" w:rsidP="00536BA4">
            <w:pPr>
              <w:autoSpaceDE w:val="0"/>
              <w:autoSpaceDN w:val="0"/>
              <w:adjustRightInd w:val="0"/>
              <w:spacing w:after="0" w:line="240" w:lineRule="auto"/>
              <w:jc w:val="both"/>
              <w:rPr>
                <w:rFonts w:eastAsiaTheme="minorHAnsi"/>
                <w:color w:val="000000"/>
                <w:lang w:val="es-MX"/>
              </w:rPr>
            </w:pPr>
            <w:r w:rsidRPr="00002CB3">
              <w:rPr>
                <w:rFonts w:eastAsiaTheme="minorHAnsi"/>
                <w:b/>
                <w:bCs/>
                <w:color w:val="000000"/>
                <w:lang w:val="es-MX"/>
              </w:rPr>
              <w:t xml:space="preserve">9. </w:t>
            </w:r>
            <w:r w:rsidRPr="00002CB3">
              <w:rPr>
                <w:rFonts w:eastAsiaTheme="minorHAnsi"/>
                <w:color w:val="000000"/>
                <w:lang w:val="es-MX"/>
              </w:rPr>
              <w:t xml:space="preserve">Con el análisis de la información reportada del FISMDF 2015 en el Sistema de Formato Único, mediante el Formato Nivel Financiero, se determinó que coincide con la información financiera de la entidad al cierre del ejercicio, 31 de diciembre de 2015, por lo que los 63,530.9 miles de pesos ejercidos fueron registrados en el sistema. </w:t>
            </w:r>
          </w:p>
          <w:p w:rsidR="00002CB3" w:rsidRPr="00002CB3" w:rsidRDefault="00002CB3" w:rsidP="00536BA4">
            <w:pPr>
              <w:autoSpaceDE w:val="0"/>
              <w:autoSpaceDN w:val="0"/>
              <w:adjustRightInd w:val="0"/>
              <w:spacing w:after="0" w:line="240" w:lineRule="auto"/>
              <w:jc w:val="both"/>
              <w:rPr>
                <w:rFonts w:eastAsiaTheme="minorHAnsi"/>
                <w:color w:val="000000"/>
                <w:lang w:val="es-MX"/>
              </w:rPr>
            </w:pPr>
            <w:r w:rsidRPr="00002CB3">
              <w:rPr>
                <w:rFonts w:eastAsiaTheme="minorHAnsi"/>
                <w:b/>
                <w:bCs/>
                <w:color w:val="000000"/>
                <w:lang w:val="es-MX"/>
              </w:rPr>
              <w:t xml:space="preserve">10. </w:t>
            </w:r>
            <w:r w:rsidRPr="00002CB3">
              <w:rPr>
                <w:rFonts w:eastAsiaTheme="minorHAnsi"/>
                <w:color w:val="000000"/>
                <w:lang w:val="es-MX"/>
              </w:rPr>
              <w:t xml:space="preserve">El municipio publicó en su página de internet los cuatro trimestres del Formato de Gestión de Proyectos y del Nivel Financiero, y los indicadores de desempeño. </w:t>
            </w:r>
          </w:p>
          <w:p w:rsidR="00002CB3" w:rsidRPr="00002CB3" w:rsidRDefault="00002CB3" w:rsidP="00536BA4">
            <w:pPr>
              <w:autoSpaceDE w:val="0"/>
              <w:autoSpaceDN w:val="0"/>
              <w:adjustRightInd w:val="0"/>
              <w:spacing w:after="0" w:line="240" w:lineRule="auto"/>
              <w:jc w:val="both"/>
              <w:rPr>
                <w:rFonts w:eastAsiaTheme="minorHAnsi"/>
                <w:color w:val="000000"/>
                <w:lang w:val="es-MX"/>
              </w:rPr>
            </w:pPr>
            <w:r w:rsidRPr="00002CB3">
              <w:rPr>
                <w:rFonts w:eastAsiaTheme="minorHAnsi"/>
                <w:b/>
                <w:bCs/>
                <w:color w:val="000000"/>
                <w:lang w:val="es-MX"/>
              </w:rPr>
              <w:t xml:space="preserve">11. </w:t>
            </w:r>
            <w:r w:rsidRPr="00002CB3">
              <w:rPr>
                <w:rFonts w:eastAsiaTheme="minorHAnsi"/>
                <w:color w:val="000000"/>
                <w:lang w:val="es-MX"/>
              </w:rPr>
              <w:t xml:space="preserve">El municipio no dispone de un Plan Anual de Evaluación y no realizó la evaluación del desempeño del FISMDF, establecida por la normativa. </w:t>
            </w:r>
          </w:p>
          <w:p w:rsidR="00002CB3" w:rsidRPr="00002CB3" w:rsidRDefault="00002CB3" w:rsidP="00536BA4">
            <w:pPr>
              <w:spacing w:after="0" w:line="240" w:lineRule="auto"/>
              <w:jc w:val="both"/>
              <w:rPr>
                <w:rFonts w:eastAsiaTheme="minorHAnsi"/>
                <w:color w:val="000000"/>
                <w:lang w:val="es-MX"/>
              </w:rPr>
            </w:pPr>
            <w:r w:rsidRPr="00002CB3">
              <w:rPr>
                <w:rFonts w:eastAsiaTheme="minorHAnsi"/>
                <w:color w:val="000000"/>
                <w:lang w:val="es-MX"/>
              </w:rPr>
              <w:t>La Contralora Municipal de Juárez, Chihuahua, inició el procedimiento para determinar posibles responsabilidades administrativas de los servidores públicos que en su gestión, no dispusieron de un Plan Anual de Evaluación y no realizaron la evaluación del desempeño del</w:t>
            </w:r>
            <w:r>
              <w:rPr>
                <w:rFonts w:eastAsiaTheme="minorHAnsi"/>
                <w:color w:val="000000"/>
                <w:lang w:val="es-MX"/>
              </w:rPr>
              <w:t xml:space="preserve"> </w:t>
            </w:r>
            <w:r w:rsidRPr="00002CB3">
              <w:rPr>
                <w:rFonts w:eastAsiaTheme="minorHAnsi"/>
                <w:color w:val="000000"/>
                <w:lang w:val="es-MX"/>
              </w:rPr>
              <w:t xml:space="preserve">FISMDF establecida por la normativa y, para tales efectos, emitió el Pronunciamiento en el sentido de no ha lugar Procedimiento Administrativo, por lo que se solventa la observación. </w:t>
            </w:r>
          </w:p>
          <w:p w:rsidR="00002CB3" w:rsidRPr="00C81F70" w:rsidRDefault="00002CB3" w:rsidP="00002CB3">
            <w:pPr>
              <w:spacing w:after="0" w:line="240" w:lineRule="auto"/>
              <w:rPr>
                <w:rFonts w:eastAsia="Times New Roman" w:cs="Arial"/>
                <w:b/>
                <w:color w:val="333333"/>
                <w:lang w:val="es-MX" w:eastAsia="es-MX"/>
              </w:rPr>
            </w:pPr>
            <w:r w:rsidRPr="00002CB3">
              <w:rPr>
                <w:rFonts w:eastAsiaTheme="minorHAnsi"/>
                <w:b/>
                <w:bCs/>
                <w:color w:val="000000"/>
                <w:lang w:val="es-MX"/>
              </w:rPr>
              <w:t xml:space="preserve">12. </w:t>
            </w:r>
            <w:r w:rsidRPr="00002CB3">
              <w:rPr>
                <w:rFonts w:eastAsiaTheme="minorHAnsi"/>
                <w:color w:val="000000"/>
                <w:lang w:val="es-MX"/>
              </w:rPr>
              <w:t>El municipio hizo del conocimiento de sus habitantes, el monto de los recursos recibidos, el costo, ubicación, metas y beneficiarios de las obras y acciones a realizar, y al término del ejercicio, los resultados alcanzados.</w:t>
            </w:r>
          </w:p>
        </w:tc>
      </w:tr>
      <w:tr w:rsidR="00536BA4"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6BA4" w:rsidRPr="00536BA4" w:rsidRDefault="00536BA4" w:rsidP="00536BA4">
            <w:pPr>
              <w:pStyle w:val="Default"/>
              <w:jc w:val="center"/>
              <w:rPr>
                <w:b/>
                <w:sz w:val="22"/>
                <w:szCs w:val="22"/>
              </w:rPr>
            </w:pPr>
            <w:r>
              <w:rPr>
                <w:b/>
                <w:sz w:val="22"/>
                <w:szCs w:val="22"/>
              </w:rPr>
              <w:t>DICTÁ</w:t>
            </w:r>
            <w:r w:rsidRPr="00536BA4">
              <w:rPr>
                <w:b/>
                <w:sz w:val="22"/>
                <w:szCs w:val="22"/>
              </w:rPr>
              <w:t>MEN</w:t>
            </w:r>
          </w:p>
          <w:p w:rsidR="00536BA4" w:rsidRDefault="00536BA4" w:rsidP="00536BA4">
            <w:pPr>
              <w:pStyle w:val="Default"/>
              <w:rPr>
                <w:sz w:val="22"/>
                <w:szCs w:val="22"/>
              </w:rPr>
            </w:pPr>
          </w:p>
          <w:p w:rsidR="00536BA4" w:rsidRDefault="00536BA4" w:rsidP="00536BA4">
            <w:pPr>
              <w:pStyle w:val="Default"/>
              <w:jc w:val="both"/>
              <w:rPr>
                <w:sz w:val="22"/>
                <w:szCs w:val="22"/>
              </w:rPr>
            </w:pPr>
            <w:r>
              <w:rPr>
                <w:sz w:val="22"/>
                <w:szCs w:val="22"/>
              </w:rPr>
              <w:t xml:space="preserve">La Auditoría Superior de la Federación revisó una muestra de 187,234.7 miles de pesos, que representó el 100.0% de los recursos transferidos al municipio de Juárez, estado de Chihuahua, mediante el Fondo de Aportaciones para la Infraestructura Social Municipal y de las Demarcaciones Territoriales del Distrito Federal (FISMDF); la auditoría se practicó sobre la información proporcionada por la entidad fiscalizada, de cuya veracidad es responsable. </w:t>
            </w:r>
          </w:p>
          <w:p w:rsidR="00536BA4" w:rsidRDefault="00536BA4" w:rsidP="00536BA4">
            <w:pPr>
              <w:pStyle w:val="Default"/>
              <w:rPr>
                <w:sz w:val="22"/>
                <w:szCs w:val="22"/>
              </w:rPr>
            </w:pPr>
            <w:r>
              <w:rPr>
                <w:sz w:val="22"/>
                <w:szCs w:val="22"/>
              </w:rPr>
              <w:t>Al 31 de diciembre de 2015, el municipio gastó el 33.9% de los recursos transferidos y al cierre de la auditoría (31 de julio de 2016) el 77.6%; sin embargo, en el trascurso de la revisión se proporcionó la documentación que acredita el destino de recursos por el 10.6%; por lo que el</w:t>
            </w:r>
            <w:r>
              <w:t xml:space="preserve"> </w:t>
            </w:r>
            <w:r>
              <w:rPr>
                <w:sz w:val="22"/>
                <w:szCs w:val="22"/>
              </w:rPr>
              <w:t xml:space="preserve">nivel del gasto final fue del 86.5%, lo que generó opacidad en la aplicación efectiva de los recursos no erogados. </w:t>
            </w:r>
          </w:p>
          <w:p w:rsidR="00536BA4" w:rsidRDefault="00536BA4" w:rsidP="00536BA4">
            <w:pPr>
              <w:pStyle w:val="Default"/>
              <w:rPr>
                <w:sz w:val="22"/>
                <w:szCs w:val="22"/>
              </w:rPr>
            </w:pPr>
            <w:r>
              <w:rPr>
                <w:sz w:val="22"/>
                <w:szCs w:val="22"/>
              </w:rPr>
              <w:t xml:space="preserve">En el ejercicio de los recursos el municipio incurrió en inobservancias de la normativa, principalmente en materia de ejercicio de los recursos respecto de la Ley de Coordinación Fiscal y del Presupuesto de Egresos de la Federación para el ejercicio fiscal 2015; que no generaron daño a la Hacienda Pública Federal; las observaciones determinadas derivaron en la promoción de las acciones correspondientes. </w:t>
            </w:r>
          </w:p>
          <w:p w:rsidR="00536BA4" w:rsidRDefault="00536BA4" w:rsidP="00536BA4">
            <w:pPr>
              <w:pStyle w:val="Default"/>
              <w:rPr>
                <w:sz w:val="22"/>
                <w:szCs w:val="22"/>
              </w:rPr>
            </w:pPr>
            <w:r>
              <w:rPr>
                <w:sz w:val="22"/>
                <w:szCs w:val="22"/>
              </w:rPr>
              <w:t xml:space="preserve">El municipio dispone de un adecuado sistema de control interno que le permite identificar y atender los riesgos que apoyan el cumplimiento de los objetivos del FISMDF, la observancia de su normativa y el manejo ordenado, eficiente y transparente de los recursos. </w:t>
            </w:r>
          </w:p>
          <w:p w:rsidR="00536BA4" w:rsidRDefault="00536BA4" w:rsidP="00536BA4">
            <w:pPr>
              <w:spacing w:after="0" w:line="240" w:lineRule="auto"/>
              <w:jc w:val="both"/>
              <w:rPr>
                <w:rFonts w:eastAsia="Times New Roman" w:cs="Arial"/>
                <w:b/>
                <w:color w:val="333333"/>
                <w:lang w:val="es-MX" w:eastAsia="es-MX"/>
              </w:rPr>
            </w:pPr>
            <w:r w:rsidRPr="00536BA4">
              <w:rPr>
                <w:highlight w:val="yellow"/>
              </w:rPr>
              <w:lastRenderedPageBreak/>
              <w:t>Se determinaron incumplimientos en las obligaciones de transparencia sobre la gestión del FISMDF, ya que si bien el municipio proporcionó a la SHCP el total de los informes previstos por la normativa sobre el ejercicio y destino de los recursos; no se contó con un Programa Anual de Evaluaciones, ni se realizaron evaluaciones sobre los resultados del fondo, lo cual impidió al municipio conocer sus debilidades y áreas de mejora</w:t>
            </w:r>
            <w:r>
              <w:t>.</w:t>
            </w:r>
          </w:p>
        </w:tc>
      </w:tr>
    </w:tbl>
    <w:p w:rsidR="007B474C" w:rsidRPr="00207A33" w:rsidRDefault="007B474C" w:rsidP="00B45F75">
      <w:pPr>
        <w:spacing w:after="160" w:line="259" w:lineRule="auto"/>
        <w:rPr>
          <w:rFonts w:asciiTheme="minorHAnsi" w:hAnsiTheme="minorHAnsi"/>
          <w:b/>
        </w:rPr>
      </w:pPr>
    </w:p>
    <w:sectPr w:rsidR="007B474C" w:rsidRPr="00207A33" w:rsidSect="00207A33">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95" w:rsidRDefault="004B5B95" w:rsidP="00CB5E98">
      <w:pPr>
        <w:spacing w:after="0" w:line="240" w:lineRule="auto"/>
      </w:pPr>
      <w:r>
        <w:separator/>
      </w:r>
    </w:p>
  </w:endnote>
  <w:endnote w:type="continuationSeparator" w:id="0">
    <w:p w:rsidR="004B5B95" w:rsidRDefault="004B5B95" w:rsidP="00CB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95" w:rsidRDefault="004B5B95" w:rsidP="00CB5E98">
      <w:pPr>
        <w:spacing w:after="0" w:line="240" w:lineRule="auto"/>
      </w:pPr>
      <w:r>
        <w:separator/>
      </w:r>
    </w:p>
  </w:footnote>
  <w:footnote w:type="continuationSeparator" w:id="0">
    <w:p w:rsidR="004B5B95" w:rsidRDefault="004B5B95" w:rsidP="00CB5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98" w:rsidRDefault="00555270" w:rsidP="0021525E">
    <w:pPr>
      <w:pStyle w:val="Encabezado"/>
      <w:jc w:val="center"/>
    </w:pPr>
    <w:r>
      <w:rPr>
        <w:noProof/>
        <w:lang w:eastAsia="es-MX"/>
      </w:rPr>
      <w:drawing>
        <wp:inline distT="0" distB="0" distL="0" distR="0" wp14:anchorId="4C54FB12" wp14:editId="774B49A7">
          <wp:extent cx="5612130" cy="9391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939165"/>
                  </a:xfrm>
                  <a:prstGeom prst="rect">
                    <a:avLst/>
                  </a:prstGeom>
                </pic:spPr>
              </pic:pic>
            </a:graphicData>
          </a:graphic>
        </wp:inline>
      </w:drawing>
    </w:r>
  </w:p>
  <w:p w:rsidR="00555270" w:rsidRPr="00CB5E98" w:rsidRDefault="00555270" w:rsidP="00CB5E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98"/>
    <w:rsid w:val="00002048"/>
    <w:rsid w:val="00002CB3"/>
    <w:rsid w:val="00074B45"/>
    <w:rsid w:val="00074E6E"/>
    <w:rsid w:val="00095A35"/>
    <w:rsid w:val="000B64E8"/>
    <w:rsid w:val="0012721E"/>
    <w:rsid w:val="00155055"/>
    <w:rsid w:val="001F3921"/>
    <w:rsid w:val="002053CC"/>
    <w:rsid w:val="00207A33"/>
    <w:rsid w:val="0021525E"/>
    <w:rsid w:val="002E586E"/>
    <w:rsid w:val="002E60A3"/>
    <w:rsid w:val="002F2844"/>
    <w:rsid w:val="002F2E50"/>
    <w:rsid w:val="003B54A6"/>
    <w:rsid w:val="003E3AFC"/>
    <w:rsid w:val="00436407"/>
    <w:rsid w:val="0044386B"/>
    <w:rsid w:val="004866CE"/>
    <w:rsid w:val="004B5B95"/>
    <w:rsid w:val="004D3159"/>
    <w:rsid w:val="004E6EED"/>
    <w:rsid w:val="005268E1"/>
    <w:rsid w:val="00536BA4"/>
    <w:rsid w:val="00555270"/>
    <w:rsid w:val="005F24E1"/>
    <w:rsid w:val="006350E2"/>
    <w:rsid w:val="006959B4"/>
    <w:rsid w:val="006E4895"/>
    <w:rsid w:val="00721038"/>
    <w:rsid w:val="00744F90"/>
    <w:rsid w:val="00753AF6"/>
    <w:rsid w:val="00787BF7"/>
    <w:rsid w:val="00797021"/>
    <w:rsid w:val="007B474C"/>
    <w:rsid w:val="00847D92"/>
    <w:rsid w:val="008E3567"/>
    <w:rsid w:val="00972186"/>
    <w:rsid w:val="009D0D6A"/>
    <w:rsid w:val="00A142E0"/>
    <w:rsid w:val="00B45F75"/>
    <w:rsid w:val="00BA5419"/>
    <w:rsid w:val="00BB608E"/>
    <w:rsid w:val="00C81F70"/>
    <w:rsid w:val="00C9115D"/>
    <w:rsid w:val="00CA0588"/>
    <w:rsid w:val="00CB5E98"/>
    <w:rsid w:val="00CF4BED"/>
    <w:rsid w:val="00D5243F"/>
    <w:rsid w:val="00D64495"/>
    <w:rsid w:val="00E1523D"/>
    <w:rsid w:val="00E157A5"/>
    <w:rsid w:val="00E159C8"/>
    <w:rsid w:val="00E6699A"/>
    <w:rsid w:val="00E67BA0"/>
    <w:rsid w:val="00F13330"/>
    <w:rsid w:val="00F833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DC4DDD-135B-4E24-943D-0CCF72D2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21"/>
    <w:pPr>
      <w:spacing w:after="200" w:line="276"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B5E98"/>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rsid w:val="00CB5E98"/>
  </w:style>
  <w:style w:type="paragraph" w:styleId="Piedepgina">
    <w:name w:val="footer"/>
    <w:basedOn w:val="Normal"/>
    <w:link w:val="PiedepginaCar"/>
    <w:uiPriority w:val="99"/>
    <w:unhideWhenUsed/>
    <w:rsid w:val="00CB5E98"/>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CB5E98"/>
  </w:style>
  <w:style w:type="paragraph" w:styleId="Sinespaciado">
    <w:name w:val="No Spacing"/>
    <w:uiPriority w:val="1"/>
    <w:qFormat/>
    <w:rsid w:val="00744F90"/>
    <w:pPr>
      <w:spacing w:after="0" w:line="240" w:lineRule="auto"/>
    </w:pPr>
    <w:rPr>
      <w:rFonts w:ascii="Calibri" w:eastAsia="Calibri" w:hAnsi="Calibri" w:cs="Calibri"/>
      <w:lang w:val="es-ES"/>
    </w:rPr>
  </w:style>
  <w:style w:type="table" w:styleId="Tablaconcuadrcula">
    <w:name w:val="Table Grid"/>
    <w:basedOn w:val="Tablanormal"/>
    <w:uiPriority w:val="39"/>
    <w:rsid w:val="00744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E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5255">
      <w:bodyDiv w:val="1"/>
      <w:marLeft w:val="0"/>
      <w:marRight w:val="0"/>
      <w:marTop w:val="0"/>
      <w:marBottom w:val="0"/>
      <w:divBdr>
        <w:top w:val="none" w:sz="0" w:space="0" w:color="auto"/>
        <w:left w:val="none" w:sz="0" w:space="0" w:color="auto"/>
        <w:bottom w:val="none" w:sz="0" w:space="0" w:color="auto"/>
        <w:right w:val="none" w:sz="0" w:space="0" w:color="auto"/>
      </w:divBdr>
    </w:div>
    <w:div w:id="1376196545">
      <w:bodyDiv w:val="1"/>
      <w:marLeft w:val="0"/>
      <w:marRight w:val="0"/>
      <w:marTop w:val="0"/>
      <w:marBottom w:val="0"/>
      <w:divBdr>
        <w:top w:val="none" w:sz="0" w:space="0" w:color="auto"/>
        <w:left w:val="none" w:sz="0" w:space="0" w:color="auto"/>
        <w:bottom w:val="none" w:sz="0" w:space="0" w:color="auto"/>
        <w:right w:val="none" w:sz="0" w:space="0" w:color="auto"/>
      </w:divBdr>
    </w:div>
    <w:div w:id="18113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1279</Words>
  <Characters>7036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dc:creator>
  <cp:keywords/>
  <dc:description/>
  <cp:lastModifiedBy>Ivonne</cp:lastModifiedBy>
  <cp:revision>7</cp:revision>
  <dcterms:created xsi:type="dcterms:W3CDTF">2017-06-30T16:30:00Z</dcterms:created>
  <dcterms:modified xsi:type="dcterms:W3CDTF">2017-06-30T17:51:00Z</dcterms:modified>
</cp:coreProperties>
</file>